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480"/>
        <w:rPr>
          <w:color w:val="auto"/>
          <w:highlight w:val="none"/>
        </w:rPr>
      </w:pPr>
      <w:r>
        <w:rPr>
          <w:color w:val="auto"/>
          <w:highlight w:val="none"/>
        </w:rPr>
      </w:r>
      <w:r/>
    </w:p>
    <w:p>
      <w:pPr>
        <w:ind w:firstLine="0"/>
        <w:jc w:val="center"/>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ascii="宋体" w:hAnsi="宋体"/>
          <w:color w:val="auto"/>
          <w:sz w:val="21"/>
          <w:szCs w:val="20"/>
          <w:highlight w:val="none"/>
          <w:lang w:eastAsia="zh-CN"/>
        </w:rPr>
      </w:pPr>
      <w:r>
        <w:rPr>
          <w:rFonts w:ascii="宋体" w:hAnsi="宋体"/>
          <w:color w:val="auto"/>
          <w:sz w:val="21"/>
          <w:szCs w:val="20"/>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420"/>
        <w:jc w:val="both"/>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center"/>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643"/>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JSZC-320200-HCCC-G2025-0014</w:t>
      </w:r>
      <w:r>
        <w:rPr>
          <w:rFonts w:ascii="宋体" w:hAnsi="宋体" w:cs="宋体"/>
          <w:b/>
          <w:color w:val="auto"/>
          <w:sz w:val="32"/>
          <w:szCs w:val="32"/>
          <w:highlight w:val="none"/>
          <w:lang w:eastAsia="zh-CN"/>
        </w:rPr>
        <w:t xml:space="preserve"> </w:t>
      </w:r>
      <w:r/>
    </w:p>
    <w:p>
      <w:pPr>
        <w:ind w:firstLine="0"/>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 </w:t>
      </w:r>
      <w:r/>
    </w:p>
    <w:p>
      <w:pPr>
        <w:ind w:firstLine="643"/>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w:t>
      </w:r>
      <w:r>
        <w:rPr>
          <w:rFonts w:hint="eastAsia" w:ascii="宋体" w:hAnsi="宋体" w:cs="宋体"/>
          <w:b/>
          <w:color w:val="auto"/>
          <w:sz w:val="32"/>
          <w:szCs w:val="32"/>
          <w:highlight w:val="none"/>
          <w:lang w:eastAsia="zh-CN"/>
        </w:rPr>
        <w:t xml:space="preserve">一批多参数电学检测设备采购项目</w:t>
      </w:r>
      <w:r/>
    </w:p>
    <w:p>
      <w:pPr>
        <w:ind w:left="3017" w:hanging="3017"/>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643"/>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人：无锡市检验检测认证研究院</w:t>
      </w:r>
      <w:r>
        <w:rPr>
          <w:rFonts w:ascii="宋体" w:hAnsi="宋体" w:cs="宋体"/>
          <w:b/>
          <w:color w:val="auto"/>
          <w:sz w:val="32"/>
          <w:szCs w:val="32"/>
          <w:highlight w:val="none"/>
          <w:lang w:eastAsia="zh-CN"/>
        </w:rPr>
        <w:t xml:space="preserve"> </w:t>
      </w:r>
      <w:r/>
    </w:p>
    <w:p>
      <w:pPr>
        <w:ind w:firstLine="0"/>
        <w:jc w:val="both"/>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firstLine="643"/>
        <w:jc w:val="both"/>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构：江苏华诚工程管理咨询有限公司</w:t>
      </w:r>
      <w:r/>
    </w:p>
    <w:p>
      <w:pPr>
        <w:ind w:right="-29"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二〇二五年十月</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highlight w:val="none"/>
          <w:lang w:eastAsia="zh-CN"/>
        </w:rPr>
      </w:r>
      <w:r>
        <w:rPr>
          <w:rFonts w:ascii="等线" w:hAnsi="等线" w:eastAsia="等线"/>
          <w:color w:val="auto"/>
          <w:sz w:val="21"/>
          <w:highlight w:val="none"/>
          <w:lang w:eastAsia="zh-CN"/>
        </w:rPr>
      </w:r>
      <w:r/>
    </w:p>
    <w:p>
      <w:pPr>
        <w:shd w:val="nil" w:color="auto"/>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br w:type="page" w:clear="all"/>
      </w:r>
      <w:r>
        <w:rPr>
          <w:rFonts w:ascii="等线" w:hAnsi="等线" w:eastAsia="等线"/>
          <w:color w:val="auto"/>
          <w:sz w:val="21"/>
          <w:szCs w:val="21"/>
          <w:highlight w:val="none"/>
          <w:lang w:eastAsia="zh-CN"/>
        </w:rPr>
      </w:r>
      <w:r/>
    </w:p>
    <w:p>
      <w:pPr>
        <w:ind w:firstLine="0"/>
        <w:jc w:val="both"/>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highlight w:val="none"/>
          <w:lang w:eastAsia="zh-CN"/>
        </w:rPr>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sdt>
      <w:sdtPr>
        <w15:appearance w15:val="boundingBox"/>
        <w:id w:val="-1793895377"/>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1008"/>
            <w:ind w:firstLine="480"/>
            <w:jc w:val="center"/>
            <w:rPr>
              <w:rFonts w:ascii="宋体" w:hAnsi="宋体" w:eastAsia="宋体"/>
              <w:b/>
              <w:bCs/>
              <w:color w:val="auto"/>
              <w:sz w:val="52"/>
              <w:szCs w:val="52"/>
              <w:highlight w:val="none"/>
            </w:rPr>
          </w:pPr>
          <w:r>
            <w:rPr>
              <w:rFonts w:ascii="宋体" w:hAnsi="宋体" w:eastAsia="宋体"/>
              <w:b/>
              <w:bCs/>
              <w:color w:val="auto"/>
              <w:sz w:val="52"/>
              <w:szCs w:val="52"/>
              <w:highlight w:val="none"/>
              <w:lang w:val="zh-CN"/>
            </w:rPr>
            <w:t xml:space="preserve">目录</w:t>
          </w:r>
          <w:r/>
        </w:p>
        <w:p>
          <w:pPr>
            <w:pStyle w:val="1004"/>
            <w:rPr>
              <w:rFonts w:ascii="宋体" w:hAnsi="宋体" w:cs="宋体"/>
              <w:b/>
              <w:bCs/>
              <w:color w:val="auto"/>
              <w:szCs w:val="28"/>
              <w:highlight w:val="none"/>
              <w:lang w:eastAsia="zh-CN"/>
              <w14:ligatures w14:val="standardContextual"/>
            </w:rPr>
          </w:pPr>
          <w:r>
            <w:rPr>
              <w:rFonts w:hint="eastAsia" w:ascii="宋体" w:hAnsi="宋体" w:cs="宋体"/>
              <w:b/>
              <w:bCs/>
              <w:color w:val="auto"/>
              <w:sz w:val="56"/>
              <w:szCs w:val="48"/>
              <w:highlight w:val="none"/>
            </w:rPr>
            <w:fldChar w:fldCharType="begin"/>
          </w:r>
          <w:r>
            <w:rPr>
              <w:rFonts w:hint="eastAsia" w:ascii="宋体" w:hAnsi="宋体" w:cs="宋体"/>
              <w:b/>
              <w:bCs/>
              <w:color w:val="auto"/>
              <w:sz w:val="56"/>
              <w:szCs w:val="48"/>
              <w:highlight w:val="none"/>
            </w:rPr>
            <w:instrText xml:space="preserve"> TOC \o "1-3" \h \z \u </w:instrText>
          </w:r>
          <w:r>
            <w:rPr>
              <w:rFonts w:hint="eastAsia" w:ascii="宋体" w:hAnsi="宋体" w:cs="宋体"/>
              <w:b/>
              <w:bCs/>
              <w:color w:val="auto"/>
              <w:sz w:val="56"/>
              <w:szCs w:val="48"/>
              <w:highlight w:val="none"/>
            </w:rPr>
            <w:fldChar w:fldCharType="separate"/>
          </w:r>
          <w:r>
            <w:rPr>
              <w:color w:val="auto"/>
              <w:highlight w:val="none"/>
            </w:rPr>
            <w:fldChar w:fldCharType="begin"/>
          </w:r>
          <w:r>
            <w:rPr>
              <w:color w:val="auto"/>
              <w:highlight w:val="none"/>
            </w:rPr>
            <w:instrText xml:space="preserve"> HYPERLINK \l "_Toc161316664" </w:instrText>
          </w:r>
          <w:r>
            <w:rPr>
              <w:color w:val="auto"/>
              <w:highlight w:val="none"/>
            </w:rPr>
            <w:fldChar w:fldCharType="separate"/>
          </w:r>
          <w:r>
            <w:rPr>
              <w:rStyle w:val="1006"/>
              <w:rFonts w:hint="eastAsia" w:ascii="宋体" w:hAnsi="宋体" w:cs="宋体"/>
              <w:b/>
              <w:bCs/>
              <w:color w:val="auto"/>
              <w:sz w:val="32"/>
              <w:szCs w:val="24"/>
              <w:highlight w:val="none"/>
              <w:lang w:eastAsia="zh-CN"/>
            </w:rPr>
            <w:t xml:space="preserve">一、投标邀请函</w:t>
          </w:r>
          <w:r>
            <w:rPr>
              <w:rFonts w:hint="eastAsia" w:ascii="宋体" w:hAnsi="宋体" w:cs="宋体"/>
              <w:b/>
              <w:bCs/>
              <w:color w:val="auto"/>
              <w:sz w:val="32"/>
              <w:szCs w:val="24"/>
              <w:highlight w:val="none"/>
            </w:rPr>
            <w:tab/>
          </w:r>
          <w:r>
            <w:rPr>
              <w:rFonts w:hint="eastAsia" w:ascii="宋体" w:hAnsi="宋体" w:cs="宋体"/>
              <w:b/>
              <w:bCs/>
              <w:color w:val="auto"/>
              <w:sz w:val="32"/>
              <w:szCs w:val="24"/>
              <w:highlight w:val="none"/>
            </w:rPr>
            <w:fldChar w:fldCharType="begin"/>
          </w:r>
          <w:r>
            <w:rPr>
              <w:rFonts w:hint="eastAsia" w:ascii="宋体" w:hAnsi="宋体" w:cs="宋体"/>
              <w:b/>
              <w:bCs/>
              <w:color w:val="auto"/>
              <w:sz w:val="32"/>
              <w:szCs w:val="24"/>
              <w:highlight w:val="none"/>
            </w:rPr>
            <w:instrText xml:space="preserve"> PAGEREF _Toc161316664 \h </w:instrText>
          </w:r>
          <w:r>
            <w:rPr>
              <w:rFonts w:hint="eastAsia" w:ascii="宋体" w:hAnsi="宋体" w:cs="宋体"/>
              <w:b/>
              <w:bCs/>
              <w:color w:val="auto"/>
              <w:sz w:val="32"/>
              <w:szCs w:val="24"/>
              <w:highlight w:val="none"/>
            </w:rPr>
            <w:fldChar w:fldCharType="separate"/>
          </w:r>
          <w:r>
            <w:rPr>
              <w:rFonts w:hint="eastAsia" w:ascii="宋体" w:hAnsi="宋体" w:cs="宋体"/>
              <w:b/>
              <w:bCs/>
              <w:color w:val="auto"/>
              <w:sz w:val="32"/>
              <w:szCs w:val="24"/>
              <w:highlight w:val="none"/>
            </w:rPr>
            <w:t xml:space="preserve">3</w:t>
          </w:r>
          <w:r>
            <w:rPr>
              <w:rFonts w:hint="eastAsia" w:ascii="宋体" w:hAnsi="宋体" w:cs="宋体"/>
              <w:b/>
              <w:bCs/>
              <w:color w:val="auto"/>
              <w:sz w:val="32"/>
              <w:szCs w:val="24"/>
              <w:highlight w:val="none"/>
            </w:rPr>
            <w:fldChar w:fldCharType="end"/>
          </w:r>
          <w:r>
            <w:rPr>
              <w:rFonts w:hint="eastAsia" w:ascii="宋体" w:hAnsi="宋体" w:cs="宋体"/>
              <w:b/>
              <w:bCs/>
              <w:color w:val="auto"/>
              <w:sz w:val="32"/>
              <w:szCs w:val="24"/>
              <w:highlight w:val="none"/>
            </w:rPr>
            <w:fldChar w:fldCharType="end"/>
          </w:r>
          <w:r/>
        </w:p>
        <w:p>
          <w:pPr>
            <w:pStyle w:val="1004"/>
            <w:rPr>
              <w:rFonts w:ascii="宋体" w:hAnsi="宋体" w:cs="宋体"/>
              <w:b/>
              <w:bCs/>
              <w:color w:val="auto"/>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"_Toc161316665" </w:instrText>
          </w:r>
          <w:r>
            <w:rPr>
              <w:color w:val="auto"/>
              <w:highlight w:val="none"/>
            </w:rPr>
            <w:fldChar w:fldCharType="separate"/>
          </w:r>
          <w:r>
            <w:rPr>
              <w:rStyle w:val="1006"/>
              <w:rFonts w:hint="eastAsia" w:ascii="宋体" w:hAnsi="宋体" w:cs="宋体"/>
              <w:b/>
              <w:bCs/>
              <w:color w:val="auto"/>
              <w:sz w:val="32"/>
              <w:szCs w:val="24"/>
              <w:highlight w:val="none"/>
              <w:lang w:eastAsia="zh-CN"/>
            </w:rPr>
            <w:t xml:space="preserve">二、供应商须知</w:t>
          </w:r>
          <w:r>
            <w:rPr>
              <w:rFonts w:hint="eastAsia" w:ascii="宋体" w:hAnsi="宋体" w:cs="宋体"/>
              <w:b/>
              <w:bCs/>
              <w:color w:val="auto"/>
              <w:sz w:val="32"/>
              <w:szCs w:val="24"/>
              <w:highlight w:val="none"/>
            </w:rPr>
            <w:tab/>
          </w:r>
          <w:r>
            <w:rPr>
              <w:rFonts w:hint="eastAsia" w:ascii="宋体" w:hAnsi="宋体" w:cs="宋体"/>
              <w:b/>
              <w:bCs/>
              <w:color w:val="auto"/>
              <w:sz w:val="32"/>
              <w:szCs w:val="24"/>
              <w:highlight w:val="none"/>
            </w:rPr>
            <w:fldChar w:fldCharType="begin"/>
          </w:r>
          <w:r>
            <w:rPr>
              <w:rFonts w:hint="eastAsia" w:ascii="宋体" w:hAnsi="宋体" w:cs="宋体"/>
              <w:b/>
              <w:bCs/>
              <w:color w:val="auto"/>
              <w:sz w:val="32"/>
              <w:szCs w:val="24"/>
              <w:highlight w:val="none"/>
            </w:rPr>
            <w:instrText xml:space="preserve"> PAGEREF _Toc161316665 \h </w:instrText>
          </w:r>
          <w:r>
            <w:rPr>
              <w:rFonts w:hint="eastAsia" w:ascii="宋体" w:hAnsi="宋体" w:cs="宋体"/>
              <w:b/>
              <w:bCs/>
              <w:color w:val="auto"/>
              <w:sz w:val="32"/>
              <w:szCs w:val="24"/>
              <w:highlight w:val="none"/>
            </w:rPr>
            <w:fldChar w:fldCharType="separate"/>
          </w:r>
          <w:r>
            <w:rPr>
              <w:rFonts w:hint="eastAsia" w:ascii="宋体" w:hAnsi="宋体" w:cs="宋体"/>
              <w:b/>
              <w:bCs/>
              <w:color w:val="auto"/>
              <w:sz w:val="32"/>
              <w:szCs w:val="24"/>
              <w:highlight w:val="none"/>
            </w:rPr>
            <w:t xml:space="preserve">6</w:t>
          </w:r>
          <w:r>
            <w:rPr>
              <w:rFonts w:hint="eastAsia" w:ascii="宋体" w:hAnsi="宋体" w:cs="宋体"/>
              <w:b/>
              <w:bCs/>
              <w:color w:val="auto"/>
              <w:sz w:val="32"/>
              <w:szCs w:val="24"/>
              <w:highlight w:val="none"/>
            </w:rPr>
            <w:fldChar w:fldCharType="end"/>
          </w:r>
          <w:r>
            <w:rPr>
              <w:rFonts w:hint="eastAsia" w:ascii="宋体" w:hAnsi="宋体" w:cs="宋体"/>
              <w:b/>
              <w:bCs/>
              <w:color w:val="auto"/>
              <w:sz w:val="32"/>
              <w:szCs w:val="24"/>
              <w:highlight w:val="none"/>
            </w:rPr>
            <w:fldChar w:fldCharType="end"/>
          </w:r>
          <w:r/>
        </w:p>
        <w:p>
          <w:pPr>
            <w:pStyle w:val="1004"/>
            <w:rPr>
              <w:rFonts w:hint="eastAsia" w:ascii="宋体" w:hAnsi="宋体" w:eastAsia="宋体" w:cs="宋体"/>
              <w:b/>
              <w:bCs/>
              <w:color w:val="auto"/>
              <w:szCs w:val="28"/>
              <w:highlight w:val="none"/>
              <w:lang w:val="en-US" w:eastAsia="zh-CN"/>
              <w14:ligatures w14:val="standardContextual"/>
            </w:rPr>
          </w:pPr>
          <w:r>
            <w:rPr>
              <w:color w:val="auto"/>
              <w:highlight w:val="none"/>
            </w:rPr>
            <w:fldChar w:fldCharType="begin"/>
          </w:r>
          <w:r>
            <w:rPr>
              <w:color w:val="auto"/>
              <w:highlight w:val="none"/>
            </w:rPr>
            <w:instrText xml:space="preserve"> HYPERLINK \l "_Toc161316666" </w:instrText>
          </w:r>
          <w:r>
            <w:rPr>
              <w:color w:val="auto"/>
              <w:highlight w:val="none"/>
            </w:rPr>
            <w:fldChar w:fldCharType="separate"/>
          </w:r>
          <w:r>
            <w:rPr>
              <w:rStyle w:val="1006"/>
              <w:rFonts w:hint="eastAsia" w:ascii="宋体" w:hAnsi="宋体" w:cs="宋体"/>
              <w:b/>
              <w:bCs/>
              <w:color w:val="auto"/>
              <w:sz w:val="32"/>
              <w:szCs w:val="24"/>
              <w:highlight w:val="none"/>
              <w:lang w:eastAsia="zh-CN"/>
            </w:rPr>
            <w:t xml:space="preserve">三、采购需求和技术有关要求</w:t>
          </w:r>
          <w:r>
            <w:rPr>
              <w:rFonts w:hint="eastAsia" w:ascii="宋体" w:hAnsi="宋体" w:cs="宋体"/>
              <w:b/>
              <w:bCs/>
              <w:color w:val="auto"/>
              <w:sz w:val="32"/>
              <w:szCs w:val="24"/>
              <w:highlight w:val="none"/>
            </w:rPr>
            <w:tab/>
          </w:r>
          <w:r>
            <w:rPr>
              <w:rFonts w:hint="eastAsia" w:ascii="宋体" w:hAnsi="宋体" w:cs="宋体"/>
              <w:b/>
              <w:bCs/>
              <w:color w:val="auto"/>
              <w:sz w:val="32"/>
              <w:szCs w:val="24"/>
              <w:highlight w:val="none"/>
              <w:lang w:val="en-US" w:eastAsia="zh-CN"/>
            </w:rPr>
            <w:t xml:space="preserve">1</w:t>
          </w:r>
          <w:r>
            <w:rPr>
              <w:rFonts w:hint="eastAsia" w:ascii="宋体" w:hAnsi="宋体" w:cs="宋体"/>
              <w:b/>
              <w:bCs/>
              <w:color w:val="auto"/>
              <w:sz w:val="32"/>
              <w:szCs w:val="24"/>
              <w:highlight w:val="none"/>
            </w:rPr>
            <w:fldChar w:fldCharType="end"/>
          </w:r>
          <w:r>
            <w:rPr>
              <w:rFonts w:hint="eastAsia" w:ascii="宋体" w:hAnsi="宋体" w:cs="宋体"/>
              <w:b/>
              <w:bCs/>
              <w:color w:val="auto"/>
              <w:sz w:val="32"/>
              <w:szCs w:val="24"/>
              <w:highlight w:val="none"/>
              <w:lang w:val="en-US" w:eastAsia="zh-CN"/>
            </w:rPr>
            <w:t xml:space="preserve">8</w:t>
          </w:r>
          <w:r/>
        </w:p>
        <w:p>
          <w:pPr>
            <w:pStyle w:val="1004"/>
            <w:rPr>
              <w:rFonts w:ascii="宋体" w:hAnsi="宋体" w:cs="宋体"/>
              <w:b/>
              <w:bCs/>
              <w:color w:val="auto"/>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"_Toc161316667" </w:instrText>
          </w:r>
          <w:r>
            <w:rPr>
              <w:color w:val="auto"/>
              <w:highlight w:val="none"/>
            </w:rPr>
            <w:fldChar w:fldCharType="separate"/>
          </w:r>
          <w:r>
            <w:rPr>
              <w:rStyle w:val="1006"/>
              <w:rFonts w:hint="eastAsia" w:ascii="宋体" w:hAnsi="宋体" w:cs="宋体"/>
              <w:b/>
              <w:bCs/>
              <w:color w:val="auto"/>
              <w:sz w:val="32"/>
              <w:szCs w:val="24"/>
              <w:highlight w:val="none"/>
              <w:lang w:eastAsia="zh-CN"/>
            </w:rPr>
            <w:t xml:space="preserve">四、合同书（格式文本）</w:t>
          </w:r>
          <w:r>
            <w:rPr>
              <w:rFonts w:hint="eastAsia" w:ascii="宋体" w:hAnsi="宋体" w:cs="宋体"/>
              <w:b/>
              <w:bCs/>
              <w:color w:val="auto"/>
              <w:sz w:val="32"/>
              <w:szCs w:val="24"/>
              <w:highlight w:val="none"/>
            </w:rPr>
            <w:tab/>
          </w:r>
          <w:r>
            <w:rPr>
              <w:rFonts w:hint="eastAsia" w:ascii="宋体" w:hAnsi="宋体" w:cs="宋体"/>
              <w:b/>
              <w:bCs/>
              <w:color w:val="auto"/>
              <w:sz w:val="32"/>
              <w:szCs w:val="24"/>
              <w:highlight w:val="none"/>
            </w:rPr>
            <w:fldChar w:fldCharType="begin"/>
          </w:r>
          <w:r>
            <w:rPr>
              <w:rFonts w:hint="eastAsia" w:ascii="宋体" w:hAnsi="宋体" w:cs="宋体"/>
              <w:b/>
              <w:bCs/>
              <w:color w:val="auto"/>
              <w:sz w:val="32"/>
              <w:szCs w:val="24"/>
              <w:highlight w:val="none"/>
            </w:rPr>
            <w:instrText xml:space="preserve"> PAGEREF _Toc161316667 \h </w:instrText>
          </w:r>
          <w:r>
            <w:rPr>
              <w:rFonts w:hint="eastAsia" w:ascii="宋体" w:hAnsi="宋体" w:cs="宋体"/>
              <w:b/>
              <w:bCs/>
              <w:color w:val="auto"/>
              <w:sz w:val="32"/>
              <w:szCs w:val="24"/>
              <w:highlight w:val="none"/>
            </w:rPr>
            <w:fldChar w:fldCharType="separate"/>
          </w:r>
          <w:r>
            <w:rPr>
              <w:rFonts w:hint="eastAsia" w:ascii="宋体" w:hAnsi="宋体" w:cs="宋体"/>
              <w:b/>
              <w:bCs/>
              <w:color w:val="auto"/>
              <w:sz w:val="32"/>
              <w:szCs w:val="24"/>
              <w:highlight w:val="none"/>
            </w:rPr>
            <w:t xml:space="preserve">24</w:t>
          </w:r>
          <w:r>
            <w:rPr>
              <w:rFonts w:hint="eastAsia" w:ascii="宋体" w:hAnsi="宋体" w:cs="宋体"/>
              <w:b/>
              <w:bCs/>
              <w:color w:val="auto"/>
              <w:sz w:val="32"/>
              <w:szCs w:val="24"/>
              <w:highlight w:val="none"/>
            </w:rPr>
            <w:fldChar w:fldCharType="end"/>
          </w:r>
          <w:r>
            <w:rPr>
              <w:rFonts w:hint="eastAsia" w:ascii="宋体" w:hAnsi="宋体" w:cs="宋体"/>
              <w:b/>
              <w:bCs/>
              <w:color w:val="auto"/>
              <w:sz w:val="32"/>
              <w:szCs w:val="24"/>
              <w:highlight w:val="none"/>
            </w:rPr>
            <w:fldChar w:fldCharType="end"/>
          </w:r>
          <w:r/>
        </w:p>
        <w:p>
          <w:pPr>
            <w:pStyle w:val="1004"/>
            <w:rPr>
              <w:rFonts w:ascii="宋体" w:hAnsi="宋体" w:cs="宋体"/>
              <w:b/>
              <w:bCs/>
              <w:color w:val="auto"/>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"_Toc161316668" </w:instrText>
          </w:r>
          <w:r>
            <w:rPr>
              <w:color w:val="auto"/>
              <w:highlight w:val="none"/>
            </w:rPr>
            <w:fldChar w:fldCharType="separate"/>
          </w:r>
          <w:r>
            <w:rPr>
              <w:rStyle w:val="1006"/>
              <w:rFonts w:hint="eastAsia" w:ascii="宋体" w:hAnsi="宋体" w:cs="宋体"/>
              <w:b/>
              <w:bCs/>
              <w:color w:val="auto"/>
              <w:sz w:val="32"/>
              <w:szCs w:val="24"/>
              <w:highlight w:val="none"/>
              <w:lang w:eastAsia="zh-CN"/>
            </w:rPr>
            <w:t xml:space="preserve">五、附件</w:t>
          </w:r>
          <w:r>
            <w:rPr>
              <w:rFonts w:hint="eastAsia" w:ascii="宋体" w:hAnsi="宋体" w:cs="宋体"/>
              <w:b/>
              <w:bCs/>
              <w:color w:val="auto"/>
              <w:sz w:val="32"/>
              <w:szCs w:val="24"/>
              <w:highlight w:val="none"/>
            </w:rPr>
            <w:tab/>
          </w:r>
          <w:r>
            <w:rPr>
              <w:rFonts w:hint="eastAsia" w:ascii="宋体" w:hAnsi="宋体" w:cs="宋体"/>
              <w:b/>
              <w:bCs/>
              <w:color w:val="auto"/>
              <w:sz w:val="32"/>
              <w:szCs w:val="24"/>
              <w:highlight w:val="none"/>
            </w:rPr>
            <w:fldChar w:fldCharType="begin"/>
          </w:r>
          <w:r>
            <w:rPr>
              <w:rFonts w:hint="eastAsia" w:ascii="宋体" w:hAnsi="宋体" w:cs="宋体"/>
              <w:b/>
              <w:bCs/>
              <w:color w:val="auto"/>
              <w:sz w:val="32"/>
              <w:szCs w:val="24"/>
              <w:highlight w:val="none"/>
            </w:rPr>
            <w:instrText xml:space="preserve"> PAGEREF _Toc161316668 \h </w:instrText>
          </w:r>
          <w:r>
            <w:rPr>
              <w:rFonts w:hint="eastAsia" w:ascii="宋体" w:hAnsi="宋体" w:cs="宋体"/>
              <w:b/>
              <w:bCs/>
              <w:color w:val="auto"/>
              <w:sz w:val="32"/>
              <w:szCs w:val="24"/>
              <w:highlight w:val="none"/>
            </w:rPr>
            <w:fldChar w:fldCharType="separate"/>
          </w:r>
          <w:r>
            <w:rPr>
              <w:rFonts w:hint="eastAsia" w:ascii="宋体" w:hAnsi="宋体" w:cs="宋体"/>
              <w:b/>
              <w:bCs/>
              <w:color w:val="auto"/>
              <w:sz w:val="32"/>
              <w:szCs w:val="24"/>
              <w:highlight w:val="none"/>
            </w:rPr>
            <w:t xml:space="preserve">29</w:t>
          </w:r>
          <w:r>
            <w:rPr>
              <w:rFonts w:hint="eastAsia" w:ascii="宋体" w:hAnsi="宋体" w:cs="宋体"/>
              <w:b/>
              <w:bCs/>
              <w:color w:val="auto"/>
              <w:sz w:val="32"/>
              <w:szCs w:val="24"/>
              <w:highlight w:val="none"/>
            </w:rPr>
            <w:fldChar w:fldCharType="end"/>
          </w:r>
          <w:r>
            <w:rPr>
              <w:rFonts w:hint="eastAsia" w:ascii="宋体" w:hAnsi="宋体" w:cs="宋体"/>
              <w:b/>
              <w:bCs/>
              <w:color w:val="auto"/>
              <w:sz w:val="32"/>
              <w:szCs w:val="24"/>
              <w:highlight w:val="none"/>
            </w:rPr>
            <w:fldChar w:fldCharType="end"/>
          </w:r>
          <w:r/>
        </w:p>
        <w:p>
          <w:pPr>
            <w:pStyle w:val="1005"/>
            <w:ind w:left="480" w:firstLine="480"/>
            <w:tabs>
              <w:tab w:val="right" w:pos="8296" w:leader="dot"/>
            </w:tabs>
            <w:rPr>
              <w:rFonts w:ascii="宋体" w:hAnsi="宋体" w:cs="宋体"/>
              <w:b/>
              <w:bCs/>
              <w:color w:val="auto"/>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"_Toc161316669" </w:instrText>
          </w:r>
          <w:r>
            <w:rPr>
              <w:color w:val="auto"/>
              <w:highlight w:val="none"/>
            </w:rPr>
            <w:fldChar w:fldCharType="separate"/>
          </w:r>
          <w:r>
            <w:rPr>
              <w:rStyle w:val="1006"/>
              <w:rFonts w:hint="eastAsia" w:ascii="宋体" w:hAnsi="宋体" w:cs="宋体"/>
              <w:b/>
              <w:bCs/>
              <w:color w:val="auto"/>
              <w:sz w:val="32"/>
              <w:szCs w:val="24"/>
              <w:highlight w:val="none"/>
              <w:lang w:eastAsia="zh-CN"/>
            </w:rPr>
            <w:t xml:space="preserve">附件一：评分标准</w:t>
          </w:r>
          <w:r>
            <w:rPr>
              <w:rFonts w:hint="eastAsia" w:ascii="宋体" w:hAnsi="宋体" w:cs="宋体"/>
              <w:b/>
              <w:bCs/>
              <w:color w:val="auto"/>
              <w:sz w:val="32"/>
              <w:szCs w:val="24"/>
              <w:highlight w:val="none"/>
            </w:rPr>
            <w:tab/>
          </w:r>
          <w:r>
            <w:rPr>
              <w:rFonts w:hint="eastAsia" w:ascii="宋体" w:hAnsi="宋体" w:cs="宋体"/>
              <w:b/>
              <w:bCs/>
              <w:color w:val="auto"/>
              <w:sz w:val="32"/>
              <w:szCs w:val="24"/>
              <w:highlight w:val="none"/>
            </w:rPr>
            <w:fldChar w:fldCharType="begin"/>
          </w:r>
          <w:r>
            <w:rPr>
              <w:rFonts w:hint="eastAsia" w:ascii="宋体" w:hAnsi="宋体" w:cs="宋体"/>
              <w:b/>
              <w:bCs/>
              <w:color w:val="auto"/>
              <w:sz w:val="32"/>
              <w:szCs w:val="24"/>
              <w:highlight w:val="none"/>
            </w:rPr>
            <w:instrText xml:space="preserve"> PAGEREF _Toc161316669 \h </w:instrText>
          </w:r>
          <w:r>
            <w:rPr>
              <w:rFonts w:hint="eastAsia" w:ascii="宋体" w:hAnsi="宋体" w:cs="宋体"/>
              <w:b/>
              <w:bCs/>
              <w:color w:val="auto"/>
              <w:sz w:val="32"/>
              <w:szCs w:val="24"/>
              <w:highlight w:val="none"/>
            </w:rPr>
            <w:fldChar w:fldCharType="separate"/>
          </w:r>
          <w:r>
            <w:rPr>
              <w:rFonts w:hint="eastAsia" w:ascii="宋体" w:hAnsi="宋体" w:cs="宋体"/>
              <w:b/>
              <w:bCs/>
              <w:color w:val="auto"/>
              <w:sz w:val="32"/>
              <w:szCs w:val="24"/>
              <w:highlight w:val="none"/>
            </w:rPr>
            <w:t xml:space="preserve">29</w:t>
          </w:r>
          <w:r>
            <w:rPr>
              <w:rFonts w:hint="eastAsia" w:ascii="宋体" w:hAnsi="宋体" w:cs="宋体"/>
              <w:b/>
              <w:bCs/>
              <w:color w:val="auto"/>
              <w:sz w:val="32"/>
              <w:szCs w:val="24"/>
              <w:highlight w:val="none"/>
            </w:rPr>
            <w:fldChar w:fldCharType="end"/>
          </w:r>
          <w:r>
            <w:rPr>
              <w:rFonts w:hint="eastAsia" w:ascii="宋体" w:hAnsi="宋体" w:cs="宋体"/>
              <w:b/>
              <w:bCs/>
              <w:color w:val="auto"/>
              <w:sz w:val="32"/>
              <w:szCs w:val="24"/>
              <w:highlight w:val="none"/>
            </w:rPr>
            <w:fldChar w:fldCharType="end"/>
          </w:r>
          <w:r/>
        </w:p>
        <w:p>
          <w:pPr>
            <w:pStyle w:val="1005"/>
            <w:ind w:left="480" w:firstLine="480"/>
            <w:tabs>
              <w:tab w:val="right" w:pos="8296" w:leader="dot"/>
            </w:tabs>
            <w:rPr>
              <w:rFonts w:ascii="宋体" w:hAnsi="宋体" w:cs="宋体"/>
              <w:b/>
              <w:bCs/>
              <w:color w:val="auto"/>
              <w:szCs w:val="28"/>
              <w:highlight w:val="none"/>
              <w:lang w:eastAsia="zh-CN"/>
              <w14:ligatures w14:val="standardContextual"/>
            </w:rPr>
          </w:pPr>
          <w:r>
            <w:rPr>
              <w:color w:val="auto"/>
              <w:highlight w:val="none"/>
            </w:rPr>
            <w:fldChar w:fldCharType="begin"/>
          </w:r>
          <w:r>
            <w:rPr>
              <w:color w:val="auto"/>
              <w:highlight w:val="none"/>
            </w:rPr>
            <w:instrText xml:space="preserve"> HYPERLINK \l "_Toc161316670" </w:instrText>
          </w:r>
          <w:r>
            <w:rPr>
              <w:color w:val="auto"/>
              <w:highlight w:val="none"/>
            </w:rPr>
            <w:fldChar w:fldCharType="separate"/>
          </w:r>
          <w:r>
            <w:rPr>
              <w:rStyle w:val="1006"/>
              <w:rFonts w:hint="eastAsia" w:ascii="宋体" w:hAnsi="宋体" w:cs="宋体"/>
              <w:b/>
              <w:bCs/>
              <w:color w:val="auto"/>
              <w:sz w:val="32"/>
              <w:szCs w:val="24"/>
              <w:highlight w:val="none"/>
              <w:lang w:eastAsia="zh-CN"/>
            </w:rPr>
            <w:t xml:space="preserve">附件二：投标文件格式</w:t>
          </w:r>
          <w:r>
            <w:rPr>
              <w:rFonts w:hint="eastAsia" w:ascii="宋体" w:hAnsi="宋体" w:cs="宋体"/>
              <w:b/>
              <w:bCs/>
              <w:color w:val="auto"/>
              <w:sz w:val="32"/>
              <w:szCs w:val="24"/>
              <w:highlight w:val="none"/>
            </w:rPr>
            <w:tab/>
          </w:r>
          <w:r>
            <w:rPr>
              <w:rFonts w:hint="eastAsia" w:ascii="宋体" w:hAnsi="宋体" w:cs="宋体"/>
              <w:b/>
              <w:bCs/>
              <w:color w:val="auto"/>
              <w:sz w:val="32"/>
              <w:szCs w:val="24"/>
              <w:highlight w:val="none"/>
            </w:rPr>
            <w:fldChar w:fldCharType="begin"/>
          </w:r>
          <w:r>
            <w:rPr>
              <w:rFonts w:hint="eastAsia" w:ascii="宋体" w:hAnsi="宋体" w:cs="宋体"/>
              <w:b/>
              <w:bCs/>
              <w:color w:val="auto"/>
              <w:sz w:val="32"/>
              <w:szCs w:val="24"/>
              <w:highlight w:val="none"/>
            </w:rPr>
            <w:instrText xml:space="preserve"> PAGEREF _Toc161316670 \h </w:instrText>
          </w:r>
          <w:r>
            <w:rPr>
              <w:rFonts w:hint="eastAsia" w:ascii="宋体" w:hAnsi="宋体" w:cs="宋体"/>
              <w:b/>
              <w:bCs/>
              <w:color w:val="auto"/>
              <w:sz w:val="32"/>
              <w:szCs w:val="24"/>
              <w:highlight w:val="none"/>
            </w:rPr>
            <w:fldChar w:fldCharType="separate"/>
          </w:r>
          <w:r>
            <w:rPr>
              <w:rFonts w:hint="eastAsia" w:ascii="宋体" w:hAnsi="宋体" w:cs="宋体"/>
              <w:b/>
              <w:bCs/>
              <w:color w:val="auto"/>
              <w:sz w:val="32"/>
              <w:szCs w:val="24"/>
              <w:highlight w:val="none"/>
            </w:rPr>
            <w:t xml:space="preserve">35</w:t>
          </w:r>
          <w:r>
            <w:rPr>
              <w:rFonts w:hint="eastAsia" w:ascii="宋体" w:hAnsi="宋体" w:cs="宋体"/>
              <w:b/>
              <w:bCs/>
              <w:color w:val="auto"/>
              <w:sz w:val="32"/>
              <w:szCs w:val="24"/>
              <w:highlight w:val="none"/>
            </w:rPr>
            <w:fldChar w:fldCharType="end"/>
          </w:r>
          <w:r>
            <w:rPr>
              <w:rFonts w:hint="eastAsia" w:ascii="宋体" w:hAnsi="宋体" w:cs="宋体"/>
              <w:b/>
              <w:bCs/>
              <w:color w:val="auto"/>
              <w:sz w:val="32"/>
              <w:szCs w:val="24"/>
              <w:highlight w:val="none"/>
            </w:rPr>
            <w:fldChar w:fldCharType="end"/>
          </w:r>
          <w:r/>
        </w:p>
        <w:p>
          <w:pPr>
            <w:ind w:firstLine="0"/>
            <w:rPr>
              <w:color w:val="auto"/>
              <w:highlight w:val="none"/>
            </w:rPr>
          </w:pPr>
          <w:r>
            <w:rPr>
              <w:rFonts w:hint="eastAsia" w:ascii="宋体" w:hAnsi="宋体" w:cs="宋体"/>
              <w:b/>
              <w:bCs/>
              <w:color w:val="auto"/>
              <w:sz w:val="56"/>
              <w:szCs w:val="48"/>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pStyle w:val="991"/>
        <w:rPr>
          <w:color w:val="auto"/>
          <w:highlight w:val="none"/>
          <w:lang w:eastAsia="zh-CN"/>
        </w:rPr>
      </w:pPr>
      <w:r/>
      <w:bookmarkStart w:id="0" w:name="_Toc101981929"/>
      <w:r/>
      <w:bookmarkStart w:id="1" w:name="_Toc161316664"/>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江苏华诚工程管理咨询有限公司受</w:t>
      </w:r>
      <w:r>
        <w:rPr>
          <w:rFonts w:hint="eastAsia" w:ascii="宋体" w:hAnsi="宋体" w:cs="宋体"/>
          <w:bCs/>
          <w:color w:val="auto"/>
          <w:szCs w:val="24"/>
          <w:highlight w:val="none"/>
          <w:lang w:eastAsia="zh-CN"/>
        </w:rPr>
        <w:t xml:space="preserve">无锡市检验检测认证研究院</w:t>
      </w:r>
      <w:r>
        <w:rPr>
          <w:rFonts w:hint="eastAsia" w:ascii="宋体" w:hAnsi="宋体" w:cs="Times New Roman"/>
          <w:bCs/>
          <w:color w:val="auto"/>
          <w:szCs w:val="24"/>
          <w:highlight w:val="none"/>
          <w:lang w:eastAsia="zh-CN"/>
        </w:rPr>
        <w:t xml:space="preserve">的委托，就</w:t>
      </w:r>
      <w:r>
        <w:rPr>
          <w:rFonts w:hint="eastAsia" w:ascii="宋体" w:hAnsi="宋体" w:cs="宋体"/>
          <w:bCs/>
          <w:color w:val="auto"/>
          <w:szCs w:val="24"/>
          <w:highlight w:val="none"/>
          <w:lang w:eastAsia="zh-CN"/>
        </w:rPr>
        <w:t xml:space="preserve">一批多参数电学检测设备采购项目</w:t>
      </w:r>
      <w:r>
        <w:rPr>
          <w:rFonts w:hint="eastAsia" w:ascii="宋体" w:hAnsi="宋体" w:cs="Times New Roman"/>
          <w:bCs/>
          <w:color w:val="auto"/>
          <w:szCs w:val="24"/>
          <w:highlight w:val="none"/>
          <w:lang w:eastAsia="zh-CN"/>
        </w:rPr>
        <w:t xml:space="preserve">进行公开招标，欢迎符合相关条件的供应商参加投标并请注意下列附表中的相关事项：</w:t>
      </w:r>
      <w:r/>
    </w:p>
    <w:p>
      <w:pPr>
        <w:ind w:firstLine="482"/>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一批多参数电学检测设备采购项目</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2.项目编号：JSZC-320200-HCCC-G2025-0014</w:t>
      </w:r>
      <w:r>
        <w:rPr>
          <w:rFonts w:ascii="宋体" w:hAnsi="宋体" w:cs="宋体"/>
          <w:color w:val="auto"/>
          <w:szCs w:val="24"/>
          <w:highlight w:val="none"/>
          <w:lang w:eastAsia="zh-CN"/>
        </w:rPr>
        <w:t xml:space="preserve"> </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3.项目预算：75.6 万元，最高限价74.75万元</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4.质量标准：合格，符合采购人使用需求</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5.供货期：</w:t>
      </w:r>
      <w:r>
        <w:rPr>
          <w:rFonts w:hint="eastAsia" w:ascii="宋体" w:hAnsi="宋体" w:cs="宋体"/>
          <w:color w:val="auto"/>
          <w:szCs w:val="24"/>
          <w:highlight w:val="none"/>
          <w:lang w:eastAsia="zh-CN"/>
        </w:rPr>
        <w:t xml:space="preserve">合同签订生效后4个月内交付并完成所有设备安装和调试</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6.质保期：一年（自安装调试验收合格之日起开始计算）</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7.采购方式：公开招标 </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8.采购人：无锡市检验检测认证研究院</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9.本项目标的所属行业：工业。根据中小企业划型标准规定（工信部</w:t>
      </w:r>
      <w:bookmarkStart w:id="59" w:name="_GoBack"/>
      <w:r/>
      <w:bookmarkEnd w:id="59"/>
      <w:r>
        <w:rPr>
          <w:rFonts w:hint="eastAsia" w:ascii="宋体" w:hAnsi="宋体" w:cs="宋体"/>
          <w:color w:val="auto"/>
          <w:szCs w:val="24"/>
          <w:highlight w:val="none"/>
          <w:lang w:eastAsia="zh-CN"/>
        </w:rPr>
        <w:t xml:space="preserve">联企业〔2011〕300号。</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10.本项目是否专门面向中小企业：否。</w:t>
      </w:r>
      <w:r/>
    </w:p>
    <w:p>
      <w:pPr>
        <w:ind w:firstLine="480"/>
        <w:shd w:val="clear" w:color="auto"/>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11.本项目是否接受进口产品投标：是。</w:t>
      </w:r>
      <w:r/>
    </w:p>
    <w:p>
      <w:pPr>
        <w:ind w:firstLine="482"/>
        <w:shd w:val="clear" w:color="auto"/>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ascii="宋体" w:hAnsi="宋体" w:cs="宋体"/>
          <w:color w:val="auto"/>
          <w:szCs w:val="24"/>
          <w:highlight w:val="none"/>
          <w:lang w:eastAsia="zh-CN"/>
        </w:rPr>
      </w:pPr>
      <w:r/>
      <w:bookmarkStart w:id="2" w:name="_Toc112006902"/>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3.落实政府采购政策需满足的资格要求：无；</w:t>
      </w:r>
      <w:r/>
    </w:p>
    <w:p>
      <w:pPr>
        <w:ind w:firstLine="480"/>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（1）若所投产品为进口产品，需提供有效的产品授权书（若投标人不是投标产品制造商的，投标人必须具有下列授权文件之一）：</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 a.制造商或制造商的国内控股子公司出具的授权函；</w:t>
      </w:r>
      <w:r/>
    </w:p>
    <w:p>
      <w:pPr>
        <w:ind w:firstLine="480"/>
        <w:rPr>
          <w:rFonts w:ascii="宋体" w:hAnsi="宋体" w:cs="宋体"/>
          <w:color w:val="auto"/>
          <w:szCs w:val="24"/>
          <w:highlight w:val="none"/>
          <w:lang w:val="zh-CN" w:eastAsia="zh-CN"/>
        </w:rPr>
      </w:pPr>
      <w:r>
        <w:rPr>
          <w:rFonts w:hint="eastAsia" w:ascii="宋体" w:hAnsi="宋体" w:cs="宋体"/>
          <w:color w:val="auto"/>
          <w:szCs w:val="24"/>
          <w:highlight w:val="none"/>
          <w:lang w:val="zh-CN" w:eastAsia="zh-CN"/>
        </w:rPr>
        <w:t xml:space="preserve"> b.制造商对授权的区域代理商出具的授权函扫描件及该区域代理商出具的授权函；</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val="zh-CN" w:eastAsia="zh-CN"/>
        </w:rPr>
        <w:t xml:space="preserve"> c.投标人取得的制造商授权的产品区域代理证书。</w:t>
      </w:r>
      <w:r/>
    </w:p>
    <w:p>
      <w:pPr>
        <w:ind w:firstLine="48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人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采购人、招标代理机构将以电话咨询、邮箱（jshc123@qq.com）等方式开展线上不见面答疑服务。截止至2025年</w:t>
      </w:r>
      <w:r>
        <w:rPr>
          <w:rFonts w:hint="eastAsia" w:ascii="宋体" w:hAnsi="宋体" w:cs="Times New Roman"/>
          <w:color w:val="auto"/>
          <w:szCs w:val="24"/>
          <w:highlight w:val="none"/>
          <w:lang w:val="en-US" w:eastAsia="zh-CN"/>
        </w:rPr>
        <w:t xml:space="preserve">10</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28</w:t>
      </w:r>
      <w:r>
        <w:rPr>
          <w:rFonts w:hint="eastAsia" w:ascii="宋体" w:hAnsi="宋体" w:cs="Times New Roman"/>
          <w:color w:val="auto"/>
          <w:szCs w:val="24"/>
          <w:highlight w:val="none"/>
          <w:lang w:eastAsia="zh-CN"/>
        </w:rPr>
        <w:t xml:space="preserve">日10:00前，有关单位对于招标文件的相关事项如有疑问可通过上述方式咨询；供应商如有需要对招标文件要求澄清的问题，请以书面形式（必须加盖投标人公章，也请务必留下联系方式，以便回复）提出“</w:t>
      </w:r>
      <w:r>
        <w:rPr>
          <w:rFonts w:hint="eastAsia" w:ascii="宋体" w:hAnsi="宋体" w:cs="宋体"/>
          <w:color w:val="auto"/>
          <w:szCs w:val="24"/>
          <w:highlight w:val="none"/>
          <w:lang w:eastAsia="zh-CN"/>
        </w:rPr>
        <w:t xml:space="preserve">JSZC-320200-HCCC-G2025-0014</w:t>
      </w:r>
      <w:r>
        <w:rPr>
          <w:rFonts w:hint="eastAsia" w:ascii="宋体" w:hAnsi="宋体" w:cs="Times New Roman"/>
          <w:color w:val="auto"/>
          <w:szCs w:val="24"/>
          <w:highlight w:val="none"/>
          <w:lang w:eastAsia="zh-CN"/>
        </w:rPr>
        <w:t xml:space="preserve">项目需澄清问题”， 并于答疑截止时间前邮箱（jshc123@qq.com）给项目联系人。若未在法定时间内提出澄清，由此造成的损失及风险由供应商自行承担。 </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shd w:val="clear" w:color="auto" w:fill="ffffff"/>
        <w:rPr>
          <w:rFonts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投标截止时间（网上投标截止时间苏采云投标客户端投标）：2025年</w:t>
      </w:r>
      <w:r>
        <w:rPr>
          <w:rFonts w:hint="eastAsia" w:ascii="宋体" w:hAnsi="宋体" w:cs="Times New Roman"/>
          <w:color w:val="auto"/>
          <w:szCs w:val="24"/>
          <w:highlight w:val="none"/>
          <w:lang w:val="en-US" w:eastAsia="zh-CN"/>
        </w:rPr>
        <w:t xml:space="preserve">11</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11</w:t>
      </w:r>
      <w:r>
        <w:rPr>
          <w:rFonts w:hint="eastAsia" w:ascii="宋体" w:hAnsi="宋体" w:cs="Times New Roman"/>
          <w:color w:val="auto"/>
          <w:szCs w:val="24"/>
          <w:highlight w:val="none"/>
          <w:lang w:eastAsia="zh-CN"/>
        </w:rPr>
        <w:t xml:space="preserve">日9:30，投标截止时间后的投标文件恕不接受。</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开标时间：2025年</w:t>
      </w:r>
      <w:r>
        <w:rPr>
          <w:rFonts w:hint="eastAsia" w:ascii="宋体" w:hAnsi="宋体" w:cs="Times New Roman"/>
          <w:color w:val="auto"/>
          <w:szCs w:val="24"/>
          <w:highlight w:val="none"/>
          <w:lang w:val="en-US" w:eastAsia="zh-CN"/>
        </w:rPr>
        <w:t xml:space="preserve">11月11</w:t>
      </w:r>
      <w:r>
        <w:rPr>
          <w:rFonts w:hint="eastAsia" w:ascii="宋体" w:hAnsi="宋体" w:cs="Times New Roman"/>
          <w:color w:val="auto"/>
          <w:szCs w:val="24"/>
          <w:highlight w:val="none"/>
          <w:lang w:eastAsia="zh-CN"/>
        </w:rPr>
        <w:t xml:space="preserve">日9:30。</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定标地点：江苏华诚工程管理咨询有限公司（无锡市新吴区金城东路333号15栋）</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shd w:val="clear" w:color="auto" w:fill="ffffff"/>
        <w:rPr>
          <w:rFonts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1.采购人：无锡市检验检测认证研究院</w:t>
      </w:r>
      <w:r/>
    </w:p>
    <w:p>
      <w:pPr>
        <w:ind w:firstLine="480"/>
        <w:shd w:val="clear" w:color="auto" w:fill="ffffff"/>
        <w:tabs>
          <w:tab w:val="left" w:pos="5148" w:leader="none"/>
        </w:tabs>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采购人地址：无锡市锡山区东亭春新东路8号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 系 人： 叶工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联系方式：0510-88203652</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2.招标代理机构：</w:t>
      </w:r>
      <w:r>
        <w:rPr>
          <w:rFonts w:hint="eastAsia" w:ascii="宋体" w:hAnsi="宋体" w:cs="宋体"/>
          <w:bCs/>
          <w:color w:val="auto"/>
          <w:szCs w:val="24"/>
          <w:highlight w:val="none"/>
          <w:lang w:eastAsia="zh-CN"/>
        </w:rPr>
        <w:t xml:space="preserve">江苏华诚工程管理咨询有限公司</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联系地址：无锡市新吴区金城东路333号15栋</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联系人：宁本营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联系电话：13382249818</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邮编：2141</w:t>
      </w:r>
      <w:r>
        <w:rPr>
          <w:rFonts w:ascii="宋体" w:hAnsi="宋体" w:cs="Times New Roman"/>
          <w:color w:val="auto"/>
          <w:szCs w:val="24"/>
          <w:highlight w:val="none"/>
          <w:lang w:eastAsia="zh-CN"/>
        </w:rPr>
        <w:t xml:space="preserve">00 </w:t>
      </w:r>
      <w:r/>
    </w:p>
    <w:p>
      <w:pPr>
        <w:ind w:firstLine="0"/>
        <w:jc w:val="both"/>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994"/>
        <w:rPr>
          <w:rFonts w:ascii="宋体" w:hAnsi="宋体" w:cs="Times New Roman"/>
          <w:color w:val="auto"/>
          <w:szCs w:val="24"/>
          <w:highlight w:val="none"/>
          <w:lang w:val="zh-CN" w:eastAsia="zh-CN"/>
        </w:rPr>
      </w:pPr>
      <w:r>
        <w:rPr>
          <w:rFonts w:ascii="宋体" w:hAnsi="宋体" w:cs="Times New Roman"/>
          <w:color w:val="auto"/>
          <w:szCs w:val="24"/>
          <w:highlight w:val="none"/>
          <w:lang w:val="zh-CN" w:eastAsia="zh-CN"/>
        </w:rPr>
      </w:r>
      <w:r/>
    </w:p>
    <w:p>
      <w:pPr>
        <w:ind w:firstLine="480"/>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994"/>
        <w:rPr>
          <w:rFonts w:ascii="宋体" w:hAnsi="宋体" w:cs="Times New Roman"/>
          <w:color w:val="auto"/>
          <w:szCs w:val="24"/>
          <w:highlight w:val="none"/>
          <w:lang w:val="zh-CN" w:eastAsia="zh-CN"/>
        </w:rPr>
      </w:pPr>
      <w:r>
        <w:rPr>
          <w:rFonts w:ascii="宋体" w:hAnsi="宋体" w:cs="Times New Roman"/>
          <w:color w:val="auto"/>
          <w:szCs w:val="24"/>
          <w:highlight w:val="none"/>
          <w:lang w:val="zh-CN" w:eastAsia="zh-CN"/>
        </w:rPr>
      </w:r>
      <w:r/>
    </w:p>
    <w:p>
      <w:pPr>
        <w:ind w:firstLine="480"/>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994"/>
        <w:rPr>
          <w:color w:val="auto"/>
          <w:highlight w:val="none"/>
          <w:lang w:val="zh-CN" w:eastAsia="zh-CN"/>
        </w:rPr>
      </w:pPr>
      <w:r>
        <w:rPr>
          <w:color w:val="auto"/>
          <w:highlight w:val="none"/>
          <w:lang w:val="zh-CN" w:eastAsia="zh-CN"/>
        </w:rPr>
      </w:r>
      <w:r/>
    </w:p>
    <w:p>
      <w:pPr>
        <w:ind w:firstLine="480"/>
        <w:rPr>
          <w:color w:val="auto"/>
          <w:highlight w:val="none"/>
          <w:lang w:eastAsia="zh-CN"/>
        </w:rPr>
      </w:pPr>
      <w:r/>
      <w:bookmarkStart w:id="8" w:name="_Toc161316665"/>
      <w:r>
        <w:rPr>
          <w:rFonts w:hint="eastAsia"/>
          <w:color w:val="auto"/>
          <w:highlight w:val="none"/>
          <w:lang w:eastAsia="zh-CN"/>
        </w:rPr>
        <w:br w:type="page" w:clear="all"/>
      </w:r>
      <w:bookmarkEnd w:id="8"/>
      <w:r/>
      <w:r/>
    </w:p>
    <w:p>
      <w:pPr>
        <w:pStyle w:val="991"/>
        <w:rPr>
          <w:color w:val="auto"/>
          <w:highlight w:val="none"/>
          <w:lang w:eastAsia="zh-CN"/>
        </w:rPr>
      </w:pPr>
      <w:r/>
      <w:bookmarkStart w:id="9" w:name="_Toc161316666"/>
      <w:r>
        <w:rPr>
          <w:rFonts w:hint="eastAsia"/>
          <w:color w:val="auto"/>
          <w:highlight w:val="none"/>
          <w:lang w:eastAsia="zh-CN"/>
        </w:rPr>
        <w:t xml:space="preserve">二、供应商须知</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10" w:name="_Hlk160181958"/>
      <w:r>
        <w:rPr>
          <w:rFonts w:hint="eastAsia" w:ascii="宋体" w:hAnsi="宋体" w:cs="Times New Roman"/>
          <w:b/>
          <w:bCs/>
          <w:color w:val="auto"/>
          <w:szCs w:val="24"/>
          <w:highlight w:val="none"/>
          <w:lang w:eastAsia="zh-CN"/>
        </w:rPr>
        <w:t xml:space="preserve">招标文件</w:t>
      </w:r>
      <w:bookmarkEnd w:id="10"/>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1.招标文件包括本文件目录所列全部内容，投标人应仔细阅读，并在投标文件中充分响应招标文件的所有要求。</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2.潜在投标人可在项目招标公告附件中查看公开招标文件，如确定投标，必须在苏采云平台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3.投标人一旦参加本项目投标，即表明承诺接受了本招标文件中的所有条件和规定。</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5.招标文件中的“法定代表人”是指投标人的营业执照或相关部门的登记证明文件中的“法定代表人”或“负责人”。</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3.供应商应于投标截止日前以电子邮件形式发送至江苏华诚工程管理咨询有限公司，确认已收到修改文件或延期开标通知，邮箱：</w:t>
      </w:r>
      <w:r>
        <w:rPr>
          <w:rFonts w:hint="eastAsia" w:ascii="宋体" w:hAnsi="宋体" w:cs="Times New Roman"/>
          <w:color w:val="auto"/>
          <w:szCs w:val="24"/>
          <w:highlight w:val="none"/>
          <w:u w:val="single"/>
          <w:lang w:eastAsia="zh-CN"/>
        </w:rPr>
        <w:t xml:space="preserve">jshc123@qq.com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ascii="宋体" w:hAnsi="宋体" w:cs="Times New Roman"/>
          <w:b/>
          <w:bCs/>
          <w:color w:val="auto"/>
          <w:szCs w:val="24"/>
          <w:highlight w:val="none"/>
          <w:lang w:eastAsia="zh-CN"/>
        </w:rPr>
      </w:pPr>
      <w:r/>
      <w:bookmarkStart w:id="11"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shd w:val="clear" w:color="auto" w:fill="ffffff"/>
        <w:rPr>
          <w:rFonts w:ascii="宋体" w:hAnsi="宋体" w:cs="Times New Roman"/>
          <w:color w:val="auto"/>
          <w:szCs w:val="24"/>
          <w:highlight w:val="none"/>
          <w:lang w:eastAsia="zh-CN"/>
        </w:rPr>
      </w:pPr>
      <w:r/>
      <w:bookmarkStart w:id="12"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）供应商近三个月中任意一个月份（不含投标当月）的财务状况报告（资产负债表和利润表）或由会计师事务所出具的近两年中任意一个年度的审计报告和所附已审计财务报告扫描件加盖公章；</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）供应商近三个月中任意一个月份（不含投标当月）的依法缴纳税收的相关材料（提供相关主管部门证明或银行代扣证明）扫描件加盖公章；</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）供应商近三个月中任意一个月份（不含投标当月）的依法缴纳社会保障资金的相关材料（提供相关主管部门证明或银行代扣证明）扫描件加盖公章；</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2"/>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 xml:space="preserve">5.</w:t>
      </w:r>
      <w:r>
        <w:rPr>
          <w:rFonts w:hint="eastAsia" w:ascii="宋体" w:hAnsi="宋体" w:cs="Times New Roman"/>
          <w:color w:val="auto"/>
          <w:szCs w:val="24"/>
          <w:highlight w:val="none"/>
          <w:lang w:eastAsia="zh-CN"/>
        </w:rPr>
        <w:t xml:space="preserve">偏离表</w:t>
      </w:r>
      <w:r>
        <w:rPr>
          <w:rFonts w:hint="eastAsia" w:ascii="宋体" w:hAnsi="宋体" w:cs="Times New Roman"/>
          <w:b/>
          <w:bCs/>
          <w:color w:val="auto"/>
          <w:szCs w:val="24"/>
          <w:highlight w:val="none"/>
          <w:lang w:eastAsia="zh-CN"/>
        </w:rPr>
        <w:t xml:space="preserve">（格式见附件）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7</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技术部分</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ascii="宋体" w:hAnsi="宋体" w:cs="Times New Roman"/>
          <w:b/>
          <w:bCs/>
          <w:color w:val="auto"/>
          <w:szCs w:val="24"/>
          <w:highlight w:val="none"/>
          <w:lang w:eastAsia="zh-CN"/>
        </w:rPr>
      </w:pPr>
      <w:r>
        <w:rPr>
          <w:rFonts w:ascii="宋体" w:hAnsi="宋体" w:cs="Times New Roman"/>
          <w:b/>
          <w:bCs/>
          <w:color w:val="auto"/>
          <w:szCs w:val="24"/>
          <w:highlight w:val="none"/>
          <w:lang w:eastAsia="zh-CN"/>
        </w:rPr>
        <w:t xml:space="preserve">8.</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9.</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（投标人认为有必要提供的声明和文件，如有格式自拟并自行添加）</w:t>
      </w:r>
      <w:bookmarkEnd w:id="11"/>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2.投标文件由投标人按给定格式如实填写（编写），须有法人（盖章）、法定代表人或法定代表人授权代表签字或盖章，方为有效，未尽事宜可自行补充。</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3.如无特别说明，投标人报价一律以人民币为投标结算货币，结算单位为“元”。</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4.投标文件格式部分，应由投标人按给定格式提供，不得更改。</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5.投标人在制作电子投标文件时，请正确关联到对应页面，在评审过程中，评审专家如因在相对应页面找不到该相关联的文件，由此产生的后果由投标人自行承担。</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6.投标费用自理。</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人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2.投标人应对CA数字证书妥善保管，如被他人盗用投标，后果自负。</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3.投标人按招标文件规定的网上解密时间进行解密，如未按时解密后果自负。</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4.投标人应当对招标文件提出的要求和条件作出实质性响应，并在电子投标系统逐条应答。</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5.投标人应对要求提供的资格证明文件（如资质证书、资格证书）、技术资料（如白皮书、彩页、手册、检测报告等）扫描上传至投标系统。</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6.投标人进行网上投标请参照《政府采购项目电子交易管理操作指南－供应商》。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特别提醒 ：开标后，投标人须自行准备设备（包括但不限于笔记本电脑、无线网络）登录“江苏省政府采购（苏采云）平台”，按招标文件规定时间解密后，在评标过程中保持在线，等待评标委员会的询标和评标结果，中途不得离开。投标人如未按要求应答，由此所产生的损失及风险由投标人自行承担。</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投标人有下列情况之一者，投标文件无效：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3.投标人未按招标文件要求解密电子投标文件的；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4.投标人的法定代表人授权代表，无法定代表人授权委托书的；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5.投标人的法定代表人或被授权代表，未准时参加开标会议的；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11.不同投标人委托同一单位或者个人办理投标事宜的；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12.不同投标人的单位负责人为同一人或者存在直接控股、管理关系的；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13.不同投标人的投标文件存在明显的相似性或一致性，特征显示由同一单位或者同一个人编制的；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14.不同投标人投标文件内容存在非正常一致、项目组成员出现同一人、投标文件中错误（或异常）一致或雷同、电子文档信息一致或雷同的、投标报价呈规律性差异的；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15.不同投标人的投标资料相互混装、不同投标人的委托代理人、项目负责人以及其他相关人员有在同一个单位缴纳社会保险、同一投标文件中单位名称落款与公章不是同一单位的；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16.投标人提交两个（含）以上不同的投标报价或项目（标段）投标总价超过本项目（标段）预算或最高限价的；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人的报价明显低于其他投标报价或者市场平均价，使得其投标报价可能低于其个别成本的，评委将要求投标人做出书面说明并提供相关证明材料。投标人不能合理说明或者不能提供相关材料的，由评标委员会认定该投标人以低于成本报价竞标，其投标应作无效投标处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23.投标文件内容不全或不符合招标文件中规定的其他实质性要求的；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24.未按要求提供第三章项目要求和有关说明中须提供的相关证明材料的；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投标截止时间后参加投标的供应商或解密投标文件的供应商不足三家的，不开标；开标后，所有投标人可在线上开标大厅中看到所有投标人的投标报价。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（3）投标人未参加开标的，视同认可开标结果。</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人在投标截止时间之前，是否被列入失信被执行人、重大税收违法案件当事人名单、政府采购严重违法失信行为记录名单，以确定投标人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996"/>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8310"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19"/>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52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870"/>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具有独立承担民事责任能力的供应商营业执照或相关部门的登记证明文件复印件加盖公章</w:t>
            </w:r>
            <w:r/>
          </w:p>
        </w:tc>
        <w:tc>
          <w:tcPr>
            <w:tcW w:w="52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投标供应商如是允许以分支机构身份参加投标的，提供投标供应商分支机构的营业执照复印件</w:t>
            </w:r>
            <w:r/>
          </w:p>
        </w:tc>
      </w:tr>
      <w:tr>
        <w:trPr>
          <w:trHeight w:val="90"/>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5234" w:type="dxa"/>
            <w:vAlign w:val="center"/>
            <w:textDirection w:val="lrTb"/>
            <w:noWrap w:val="false"/>
          </w:tcPr>
          <w:p>
            <w:pPr>
              <w:ind w:firstLine="0"/>
              <w:jc w:val="both"/>
              <w:widowControl w:val="off"/>
              <w:tabs>
                <w:tab w:val="left" w:pos="1050" w:leader="none"/>
              </w:tabs>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4"/>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供应商法定代表人身份证复印件加盖公章</w:t>
            </w:r>
            <w:r/>
          </w:p>
        </w:tc>
        <w:tc>
          <w:tcPr>
            <w:tcW w:w="52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4"/>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供应商法定代表人授权代表身份证复印件加盖公章</w:t>
            </w:r>
            <w:r/>
          </w:p>
        </w:tc>
        <w:tc>
          <w:tcPr>
            <w:tcW w:w="5234" w:type="dxa"/>
            <w:vAlign w:val="center"/>
            <w:textDirection w:val="lrTb"/>
            <w:noWrap w:val="false"/>
          </w:tcPr>
          <w:p>
            <w:pPr>
              <w:ind w:firstLine="0"/>
              <w:jc w:val="both"/>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80"/>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5234" w:type="dxa"/>
            <w:vAlign w:val="center"/>
            <w:textDirection w:val="lrTb"/>
            <w:noWrap w:val="false"/>
          </w:tcPr>
          <w:p>
            <w:pPr>
              <w:ind w:firstLine="0"/>
              <w:jc w:val="both"/>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供应商近三个月中任意一个月份（不含投标当月）的财务状况报告（资产负债表和利润表）或由会计师事务所出具的近两年中任意一个年度的审计报告和所附已审计财务报告扫描件加盖公章</w:t>
            </w:r>
            <w:r/>
          </w:p>
        </w:tc>
      </w:tr>
      <w:tr>
        <w:trPr>
          <w:trHeight w:val="951"/>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52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供应商近三个月中任意一个月份（不含投标当月）的依法缴纳税收的相关材料（提供相关主管部门证明或银行代扣证明）扫描件加盖公章</w:t>
            </w:r>
            <w:r/>
          </w:p>
        </w:tc>
      </w:tr>
      <w:tr>
        <w:trPr>
          <w:trHeight w:val="943"/>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52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供应商近三个月中任意一个月份（不含投标当月）的依法缴纳社会保障资金的相关材料（提供相关主管部门证明或银行代扣证明）扫描件加盖公章</w:t>
            </w:r>
            <w:r/>
          </w:p>
        </w:tc>
      </w:tr>
      <w:tr>
        <w:trPr>
          <w:trHeight w:val="602"/>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52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7"/>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52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3</w:t>
            </w:r>
            <w:r>
              <w:rPr>
                <w:rFonts w:hint="eastAsia" w:ascii="宋体" w:hAnsi="宋体" w:cs="宋体"/>
                <w:color w:val="auto"/>
                <w:szCs w:val="24"/>
                <w:highlight w:val="none"/>
                <w:lang w:eastAsia="zh-CN"/>
              </w:rPr>
              <w:t xml:space="preserve">中要求）；</w:t>
            </w:r>
            <w:r/>
          </w:p>
        </w:tc>
      </w:tr>
      <w:tr>
        <w:trPr>
          <w:trHeight w:val="602"/>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52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426"/>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5234" w:type="dxa"/>
            <w:textDirection w:val="lrTb"/>
            <w:noWrap w:val="false"/>
          </w:tcPr>
          <w:p>
            <w:pPr>
              <w:ind w:firstLine="0"/>
              <w:jc w:val="both"/>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27"/>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5234" w:type="dxa"/>
            <w:vAlign w:val="center"/>
            <w:textDirection w:val="lrTb"/>
            <w:noWrap w:val="false"/>
          </w:tcPr>
          <w:p>
            <w:pPr>
              <w:ind w:firstLine="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w:t>
            </w: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中要求）；</w:t>
            </w:r>
            <w:r/>
          </w:p>
        </w:tc>
      </w:tr>
    </w:tbl>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996"/>
        <w:tblW w:w="895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trHeight w:val="564"/>
        </w:trPr>
        <w:tc>
          <w:tcPr>
            <w:tcW w:w="649"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076"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5234" w:type="dxa"/>
            <w:vAlign w:val="center"/>
            <w:textDirection w:val="lrTb"/>
            <w:noWrap w:val="false"/>
          </w:tcPr>
          <w:p>
            <w:pPr>
              <w:ind w:firstLine="0"/>
              <w:jc w:val="center"/>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519"/>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523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70"/>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5234"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90"/>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5234" w:type="dxa"/>
            <w:vAlign w:val="center"/>
            <w:textDirection w:val="lrTb"/>
            <w:noWrap w:val="false"/>
          </w:tcPr>
          <w:p>
            <w:pPr>
              <w:ind w:firstLine="0"/>
              <w:jc w:val="center"/>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44"/>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5234"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44"/>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5234" w:type="dxa"/>
            <w:vAlign w:val="center"/>
            <w:textDirection w:val="lrTb"/>
            <w:noWrap w:val="false"/>
          </w:tcPr>
          <w:p>
            <w:pPr>
              <w:ind w:firstLine="0"/>
              <w:jc w:val="center"/>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1280"/>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5234" w:type="dxa"/>
            <w:vAlign w:val="center"/>
            <w:textDirection w:val="lrTb"/>
            <w:noWrap w:val="false"/>
          </w:tcPr>
          <w:p>
            <w:pPr>
              <w:ind w:firstLine="0"/>
              <w:jc w:val="center"/>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trHeight w:val="951"/>
        </w:trPr>
        <w:tc>
          <w:tcPr>
            <w:tcW w:w="649"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076"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5234" w:type="dxa"/>
            <w:vAlign w:val="center"/>
            <w:textDirection w:val="lrTb"/>
            <w:noWrap w:val="false"/>
          </w:tcPr>
          <w:p>
            <w:pPr>
              <w:ind w:firstLine="0"/>
              <w:jc w:val="center"/>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特别提醒：符合性审查不合格的投标供应商的投标文件不进入后续评审。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人作出必要的澄清、说明或者纠正。投标人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投标人通过初审的，方可进入比较与评价程序，本项目采用综合评分法。</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firstLine="480"/>
        <w:shd w:val="clear" w:color="auto" w:fill="ffffff"/>
        <w:rPr>
          <w:rFonts w:ascii="宋体" w:hAnsi="宋体" w:cs="Times New Roman"/>
          <w:color w:val="auto"/>
          <w:szCs w:val="24"/>
          <w:highlight w:val="none"/>
          <w:lang w:eastAsia="zh-CN"/>
        </w:rPr>
      </w:pPr>
      <w:r/>
      <w:bookmarkStart w:id="13" w:name="_Hlk161324277"/>
      <w:r>
        <w:rPr>
          <w:rFonts w:hint="eastAsia" w:ascii="宋体" w:hAnsi="宋体" w:cs="Times New Roman"/>
          <w:color w:val="auto"/>
          <w:szCs w:val="24"/>
          <w:highlight w:val="none"/>
          <w:lang w:eastAsia="zh-CN"/>
        </w:rPr>
        <w:t xml:space="preserve">核心产品（如有）：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bookmarkEnd w:id="13"/>
      <w:r/>
      <w:r/>
    </w:p>
    <w:p>
      <w:pPr>
        <w:ind w:firstLine="48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4" w:name="_Hlk161324674"/>
      <w:r>
        <w:rPr>
          <w:rFonts w:hint="eastAsia" w:ascii="宋体" w:hAnsi="宋体" w:cs="Times New Roman"/>
          <w:b/>
          <w:bCs/>
          <w:color w:val="auto"/>
          <w:szCs w:val="24"/>
          <w:highlight w:val="none"/>
          <w:lang w:eastAsia="zh-CN"/>
        </w:rPr>
        <w:t xml:space="preserve">中标无效的确认：</w:t>
      </w:r>
      <w:bookmarkEnd w:id="14"/>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华诚工程管理咨询有限公司见证后生效。</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3.成交方非因不可抗力未履行招标、投标文件和合同规定的义务，一经查实，招标代理机构将根据具体情况提请政府采购管理部门做出相应处理。</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（十四）服务费：</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招标代理服务费以中标价为计费基础，收费标准为（货物类）：中标金额100万（含100万）以下费率为中标金额的</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5%；</w:t>
      </w:r>
      <w:r>
        <w:rPr>
          <w:rFonts w:hint="eastAsia" w:ascii="宋体" w:hAnsi="宋体" w:cs="Times New Roman"/>
          <w:color w:val="auto"/>
          <w:szCs w:val="24"/>
          <w:highlight w:val="none"/>
          <w:lang w:val="en-US" w:eastAsia="zh-CN"/>
        </w:rPr>
        <w:t xml:space="preserve">按照80%计取</w:t>
      </w:r>
      <w:r>
        <w:rPr>
          <w:rFonts w:hint="eastAsia" w:ascii="宋体" w:hAnsi="宋体" w:cs="Times New Roman"/>
          <w:color w:val="auto"/>
          <w:szCs w:val="24"/>
          <w:highlight w:val="none"/>
          <w:lang w:eastAsia="zh-CN"/>
        </w:rPr>
        <w:t xml:space="preserve">，由</w:t>
      </w:r>
      <w:r>
        <w:rPr>
          <w:rFonts w:hint="eastAsia" w:ascii="宋体" w:hAnsi="宋体" w:cs="Times New Roman"/>
          <w:b/>
          <w:color w:val="auto"/>
          <w:szCs w:val="24"/>
          <w:highlight w:val="none"/>
          <w:lang w:eastAsia="zh-CN"/>
        </w:rPr>
        <w:t xml:space="preserve">中标供应商</w:t>
      </w:r>
      <w:r>
        <w:rPr>
          <w:rFonts w:hint="eastAsia" w:ascii="宋体" w:hAnsi="宋体" w:cs="Times New Roman"/>
          <w:color w:val="auto"/>
          <w:szCs w:val="24"/>
          <w:highlight w:val="none"/>
          <w:lang w:eastAsia="zh-CN"/>
        </w:rPr>
        <w:t xml:space="preserve">支付。</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（十五）信用担保</w:t>
      </w:r>
      <w:r/>
    </w:p>
    <w:p>
      <w:pPr>
        <w:ind w:firstLine="72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（十六）政府采购合同融资：</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（十七）其他：</w:t>
      </w:r>
      <w:r/>
    </w:p>
    <w:p>
      <w:pPr>
        <w:ind w:firstLine="48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48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480"/>
        <w:rPr>
          <w:color w:val="auto"/>
          <w:highlight w:val="none"/>
          <w:lang w:eastAsia="zh-CN"/>
        </w:rPr>
      </w:pPr>
      <w:r>
        <w:rPr>
          <w:rFonts w:hint="eastAsia"/>
          <w:color w:val="auto"/>
          <w:highlight w:val="none"/>
          <w:lang w:eastAsia="zh-CN"/>
        </w:rPr>
        <w:br w:type="page" w:clear="all"/>
      </w:r>
      <w:r/>
    </w:p>
    <w:p>
      <w:pPr>
        <w:pStyle w:val="991"/>
        <w:spacing w:line="360" w:lineRule="auto"/>
        <w:rPr>
          <w:rFonts w:ascii="宋体" w:hAnsi="宋体" w:cs="宋体"/>
          <w:color w:val="auto"/>
          <w:szCs w:val="24"/>
          <w:highlight w:val="none"/>
          <w:lang w:eastAsia="zh-CN"/>
        </w:rPr>
      </w:pPr>
      <w:r>
        <w:rPr>
          <w:rFonts w:hint="eastAsia"/>
          <w:color w:val="auto"/>
          <w:highlight w:val="none"/>
          <w:lang w:eastAsia="zh-CN"/>
        </w:rPr>
        <w:t xml:space="preserve">三、采购需求和技术有关要求</w:t>
      </w:r>
      <w:bookmarkEnd w:id="9"/>
      <w:r/>
      <w:r/>
    </w:p>
    <w:p>
      <w:pPr>
        <w:ind w:firstLine="482"/>
        <w:rPr>
          <w:rFonts w:ascii="宋体" w:hAnsi="宋体" w:cs="宋体"/>
          <w:b/>
          <w:bCs/>
          <w:color w:val="auto"/>
          <w:szCs w:val="24"/>
          <w:highlight w:val="none"/>
          <w:lang w:eastAsia="zh-CN"/>
        </w:rPr>
      </w:pPr>
      <w:r/>
      <w:bookmarkStart w:id="15" w:name="_Hlk6257390"/>
      <w:r>
        <w:rPr>
          <w:rFonts w:hint="eastAsia" w:ascii="宋体" w:hAnsi="宋体" w:cs="宋体"/>
          <w:b/>
          <w:bCs/>
          <w:color w:val="auto"/>
          <w:szCs w:val="24"/>
          <w:highlight w:val="none"/>
          <w:lang w:eastAsia="zh-CN"/>
        </w:rPr>
        <w:t xml:space="preserve">（一）采购标的需实现的功能或者目标，以及为落实政府采购政策需满足的要求：</w:t>
      </w:r>
      <w:r/>
    </w:p>
    <w:p>
      <w:pPr>
        <w:ind w:firstLine="426"/>
        <w:rPr>
          <w:rFonts w:ascii="宋体" w:hAnsi="宋体" w:cs="宋体"/>
          <w:b/>
          <w:color w:val="auto"/>
          <w:szCs w:val="24"/>
          <w:highlight w:val="none"/>
        </w:rPr>
      </w:pPr>
      <w:r>
        <w:rPr>
          <w:rFonts w:hint="eastAsia" w:ascii="宋体" w:hAnsi="宋体" w:cs="宋体"/>
          <w:b/>
          <w:color w:val="auto"/>
          <w:szCs w:val="24"/>
          <w:highlight w:val="none"/>
        </w:rPr>
        <w:t xml:space="preserve">设备1：电离室巡检仪</w:t>
      </w:r>
      <w:r/>
    </w:p>
    <w:p>
      <w:pPr>
        <w:numPr>
          <w:ilvl w:val="0"/>
          <w:numId w:val="1"/>
        </w:num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采购设备名称：电离室巡检仪</w:t>
      </w:r>
      <w:r/>
    </w:p>
    <w:p>
      <w:pPr>
        <w:numPr>
          <w:ilvl w:val="0"/>
          <w:numId w:val="1"/>
        </w:numPr>
        <w:ind w:firstLine="424"/>
        <w:rPr>
          <w:rFonts w:ascii="宋体" w:hAnsi="宋体" w:cs="宋体"/>
          <w:bCs/>
          <w:color w:val="auto"/>
          <w:szCs w:val="24"/>
          <w:highlight w:val="none"/>
        </w:rPr>
      </w:pPr>
      <w:r>
        <w:rPr>
          <w:rFonts w:hint="eastAsia" w:ascii="宋体" w:hAnsi="宋体" w:cs="宋体"/>
          <w:bCs/>
          <w:color w:val="auto"/>
          <w:szCs w:val="24"/>
          <w:highlight w:val="none"/>
        </w:rPr>
        <w:t xml:space="preserve">预  算 价 格：7万元</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3.供应商有无特定资格要求：无</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4.是 否 进 口 产品：是</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5.是否强制节能产品：否</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6.是否安全信息产品：否</w:t>
      </w:r>
      <w:r/>
    </w:p>
    <w:p>
      <w:pPr>
        <w:ind w:firstLine="426"/>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设备2：高斯计</w:t>
      </w:r>
      <w:r>
        <w:rPr>
          <w:rFonts w:hint="eastAsia" w:ascii="宋体" w:hAnsi="宋体" w:cs="宋体"/>
          <w:bCs/>
          <w:color w:val="auto"/>
          <w:szCs w:val="24"/>
          <w:highlight w:val="none"/>
          <w:lang w:eastAsia="zh-CN"/>
        </w:rPr>
        <w:t xml:space="preserve">   </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采购设备名称：高斯计</w:t>
      </w:r>
      <w:r/>
    </w:p>
    <w:p>
      <w:pPr>
        <w:numPr>
          <w:ilvl w:val="0"/>
          <w:numId w:val="2"/>
        </w:numPr>
        <w:ind w:firstLine="424"/>
        <w:rPr>
          <w:rFonts w:ascii="宋体" w:hAnsi="宋体" w:cs="宋体"/>
          <w:bCs/>
          <w:color w:val="auto"/>
          <w:szCs w:val="24"/>
          <w:highlight w:val="none"/>
        </w:rPr>
      </w:pPr>
      <w:r>
        <w:rPr>
          <w:rFonts w:hint="eastAsia" w:ascii="宋体" w:hAnsi="宋体" w:cs="宋体"/>
          <w:bCs/>
          <w:color w:val="auto"/>
          <w:szCs w:val="24"/>
          <w:highlight w:val="none"/>
        </w:rPr>
        <w:t xml:space="preserve">预  算 价 格：9.6万元</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3.供应商有无特定资格要求：无</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4.是 否 进 口 产品：是</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5.是否强制节能产品：否</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6.是否安全信息产品：否</w:t>
      </w:r>
      <w:r/>
    </w:p>
    <w:p>
      <w:pPr>
        <w:ind w:firstLine="426"/>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设备3：阻抗探头</w:t>
      </w:r>
      <w:r/>
    </w:p>
    <w:p>
      <w:pPr>
        <w:numPr>
          <w:ilvl w:val="0"/>
          <w:numId w:val="3"/>
        </w:num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采购设备名称：阻抗探头</w:t>
      </w:r>
      <w:r/>
    </w:p>
    <w:p>
      <w:pPr>
        <w:numPr>
          <w:ilvl w:val="0"/>
          <w:numId w:val="3"/>
        </w:numPr>
        <w:ind w:firstLine="424"/>
        <w:rPr>
          <w:rFonts w:ascii="宋体" w:hAnsi="宋体" w:cs="宋体"/>
          <w:bCs/>
          <w:color w:val="auto"/>
          <w:szCs w:val="24"/>
          <w:highlight w:val="none"/>
        </w:rPr>
      </w:pPr>
      <w:r>
        <w:rPr>
          <w:rFonts w:hint="eastAsia" w:ascii="宋体" w:hAnsi="宋体" w:cs="宋体"/>
          <w:bCs/>
          <w:color w:val="auto"/>
          <w:szCs w:val="24"/>
          <w:highlight w:val="none"/>
        </w:rPr>
        <w:t xml:space="preserve">预  算 价 格：9万元</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3.供应商有无特定资格要求：无</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4.是 否 进 口 产品：是</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5.是否强制节能产品：否</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6.是否安全信息产品：否</w:t>
      </w:r>
      <w:r/>
    </w:p>
    <w:p>
      <w:pPr>
        <w:ind w:firstLine="426"/>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设备4：</w:t>
      </w:r>
      <w:bookmarkStart w:id="16" w:name="OLE_LINK1"/>
      <w:r>
        <w:rPr>
          <w:rFonts w:hint="eastAsia" w:ascii="宋体" w:hAnsi="宋体" w:cs="宋体"/>
          <w:b/>
          <w:color w:val="auto"/>
          <w:szCs w:val="24"/>
          <w:highlight w:val="none"/>
          <w:lang w:eastAsia="zh-CN"/>
        </w:rPr>
        <w:t xml:space="preserve">端子适配器</w:t>
      </w:r>
      <w:bookmarkEnd w:id="16"/>
      <w:r/>
      <w:r/>
    </w:p>
    <w:p>
      <w:pPr>
        <w:numPr>
          <w:ilvl w:val="0"/>
          <w:numId w:val="4"/>
        </w:num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采购设备名称：端子适配器</w:t>
      </w:r>
      <w:r/>
    </w:p>
    <w:p>
      <w:pPr>
        <w:numPr>
          <w:ilvl w:val="0"/>
          <w:numId w:val="4"/>
        </w:numPr>
        <w:ind w:firstLine="424"/>
        <w:rPr>
          <w:rFonts w:ascii="宋体" w:hAnsi="宋体" w:cs="宋体"/>
          <w:bCs/>
          <w:color w:val="auto"/>
          <w:szCs w:val="24"/>
          <w:highlight w:val="none"/>
        </w:rPr>
      </w:pPr>
      <w:r>
        <w:rPr>
          <w:rFonts w:hint="eastAsia" w:ascii="宋体" w:hAnsi="宋体" w:cs="宋体"/>
          <w:bCs/>
          <w:color w:val="auto"/>
          <w:szCs w:val="24"/>
          <w:highlight w:val="none"/>
        </w:rPr>
        <w:t xml:space="preserve">预  算 价 格： 10万元</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3.供应商有无特定资格要求：无</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4.是 否 进 口 产品：是</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5.是否强制节能产品：否</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6.是否安全信息产品：否</w:t>
      </w:r>
      <w:r/>
    </w:p>
    <w:p>
      <w:pPr>
        <w:ind w:firstLine="426"/>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设备5：示波器</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1.采购设备名称：示波器</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2.预  算 价 格：40万元</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3.供应商有无特定资格要求：无</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4.是 否 进 口 产品：是</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5.是否强制节能产品：否</w:t>
      </w:r>
      <w:r/>
    </w:p>
    <w:p>
      <w:pPr>
        <w:ind w:firstLine="424"/>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6.是否安全信息产品：否</w:t>
      </w:r>
      <w:r/>
    </w:p>
    <w:p>
      <w:pPr>
        <w:ind w:firstLine="241"/>
        <w:jc w:val="both"/>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（二）采购标的需执行的国家相关标准、行业标准、地方标准或者其他标准、规范：</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JJF1596-2016《X射线工业实时成像系统校准规范》；</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JJF 1832-2020《（1 mT～2.5 T）磁强计校准规范》；</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JJF1127-2004《射频阳抗/材料分析仪校准规范》；</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JJF1057-1998《数字存储示波器校准规范》；</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JJG 262-1996《模拟示波器检定规程；</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JJF 1437-2013《示波器电压探头校准规范》。</w:t>
      </w:r>
      <w:r/>
    </w:p>
    <w:p>
      <w:pPr>
        <w:ind w:firstLine="241"/>
        <w:jc w:val="both"/>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（三）采购标的需满足的质量、安全、技术规格、物理特性等要求：</w:t>
      </w:r>
      <w:r/>
    </w:p>
    <w:p>
      <w:pPr>
        <w:ind w:firstLine="482"/>
        <w:rPr>
          <w:rFonts w:ascii="宋体" w:hAnsi="宋体" w:cs="宋体"/>
          <w:color w:val="auto"/>
          <w:szCs w:val="24"/>
          <w:highlight w:val="none"/>
          <w:lang w:eastAsia="zh-CN"/>
        </w:rPr>
      </w:pPr>
      <w:r/>
      <w:bookmarkStart w:id="17" w:name="_Toc226946460"/>
      <w:r>
        <w:rPr>
          <w:rFonts w:hint="eastAsia" w:ascii="宋体" w:hAnsi="宋体" w:cs="宋体"/>
          <w:b/>
          <w:bCs/>
          <w:color w:val="auto"/>
          <w:szCs w:val="24"/>
          <w:highlight w:val="none"/>
          <w:lang w:eastAsia="zh-CN"/>
        </w:rPr>
        <w:t xml:space="preserve">1.电离室巡检仪</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val="it-IT" w:eastAsia="zh-CN"/>
        </w:rPr>
        <w:t xml:space="preserve">1.</w:t>
      </w:r>
      <w:r>
        <w:rPr>
          <w:rFonts w:hint="eastAsia" w:ascii="宋体" w:hAnsi="宋体" w:cs="宋体"/>
          <w:color w:val="auto"/>
          <w:szCs w:val="24"/>
          <w:highlight w:val="none"/>
          <w:lang w:eastAsia="zh-CN"/>
        </w:rPr>
        <w:t xml:space="preserve">功能要求</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1.1需具备累计模式：在开启仪器后能连续工作30s，显示mR/h或R/h累计数值。</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1.2需具备保持模式：能保持并显示峰值，以及继续读取和显示当前的辐射值。</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1.3需具备模拟、数字式液晶显示。模拟显示时能显示100个单元条形图，并各标有与仪器量程相应的值；数字显示时可根据仪器的操作量程，在2</w:t>
      </w:r>
      <w:r>
        <w:rPr>
          <w:rFonts w:hint="eastAsia" w:ascii="宋体" w:hAnsi="宋体" w:cs="宋体"/>
          <w:color w:val="auto"/>
          <w:szCs w:val="24"/>
          <w:highlight w:val="none"/>
          <w:vertAlign w:val="superscript"/>
          <w:lang w:eastAsia="zh-CN"/>
        </w:rPr>
        <w:t xml:space="preserve">1/2</w:t>
      </w:r>
      <w:r>
        <w:rPr>
          <w:rFonts w:hint="eastAsia" w:ascii="宋体" w:hAnsi="宋体" w:cs="宋体"/>
          <w:color w:val="auto"/>
          <w:szCs w:val="24"/>
          <w:highlight w:val="none"/>
          <w:lang w:eastAsia="zh-CN"/>
        </w:rPr>
        <w:t xml:space="preserve">位显示后跟一个有效0位。</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1.4需具备低电压指示和保持模式指示功能。</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1.5预热时间：当仪器与环境温度平衡时，初始预热时间少于2 min。</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 便携并方便挂在脖子上或者衣服上。</w:t>
      </w:r>
      <w:r/>
    </w:p>
    <w:p>
      <w:pPr>
        <w:ind w:firstLine="480"/>
        <w:spacing w:before="163"/>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rPr>
          <w:rFonts w:hint="eastAsia" w:ascii="宋体" w:hAnsi="宋体" w:cs="宋体"/>
          <w:color w:val="auto"/>
          <w:szCs w:val="24"/>
          <w:highlight w:val="none"/>
          <w:lang w:val="it-IT" w:eastAsia="zh-CN"/>
        </w:rPr>
        <w:t xml:space="preserve">技术</w:t>
      </w:r>
      <w:r>
        <w:rPr>
          <w:rFonts w:hint="eastAsia" w:ascii="宋体" w:hAnsi="宋体" w:cs="宋体"/>
          <w:color w:val="auto"/>
          <w:szCs w:val="24"/>
          <w:highlight w:val="none"/>
          <w:lang w:eastAsia="zh-CN"/>
        </w:rPr>
        <w:t xml:space="preserve">要求</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2.1具备自动切换量程功能。</w:t>
      </w:r>
      <w:r/>
    </w:p>
    <w:p>
      <w:pPr>
        <w:ind w:firstLine="480"/>
        <w:rPr>
          <w:rFonts w:ascii="宋体" w:hAnsi="宋体" w:cs="宋体"/>
          <w:color w:val="auto"/>
          <w:szCs w:val="24"/>
          <w:highlight w:val="none"/>
        </w:rPr>
      </w:pPr>
      <w:r>
        <w:rPr>
          <w:rFonts w:hint="eastAsia" w:ascii="宋体" w:hAnsi="宋体" w:cs="宋体"/>
          <w:color w:val="auto"/>
          <w:szCs w:val="24"/>
          <w:highlight w:val="none"/>
        </w:rPr>
        <w:t xml:space="preserve">2.2具备分段式量程：</w:t>
      </w:r>
      <w:r/>
    </w:p>
    <w:p>
      <w:pPr>
        <w:ind w:firstLine="480"/>
        <w:spacing w:before="60" w:after="60"/>
        <w:rPr>
          <w:rFonts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1</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0～500μR/h or 0～5μSv/h</w:t>
      </w:r>
      <w:r/>
    </w:p>
    <w:p>
      <w:pPr>
        <w:ind w:firstLine="480"/>
        <w:spacing w:before="60" w:after="60"/>
        <w:rPr>
          <w:rFonts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2</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0～50 mR/h or 0～50μSv/h</w:t>
      </w:r>
      <w:r/>
    </w:p>
    <w:p>
      <w:pPr>
        <w:ind w:firstLine="480"/>
        <w:spacing w:before="60" w:after="60"/>
        <w:rPr>
          <w:rFonts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3</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0～50 mR/h or 0～500μSv/h</w:t>
      </w:r>
      <w:r/>
    </w:p>
    <w:p>
      <w:pPr>
        <w:ind w:firstLine="480"/>
        <w:spacing w:before="60" w:after="60"/>
        <w:rPr>
          <w:rFonts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4</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0～500 mR/h or 0～5 mSv/h</w:t>
      </w:r>
      <w:r/>
    </w:p>
    <w:p>
      <w:pPr>
        <w:ind w:firstLine="480"/>
        <w:spacing w:before="60" w:after="60"/>
        <w:rPr>
          <w:rFonts w:ascii="宋体" w:hAnsi="宋体" w:cs="宋体"/>
          <w:color w:val="auto"/>
          <w:szCs w:val="24"/>
          <w:highlight w:val="none"/>
        </w:rPr>
      </w:pP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5</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 0～5 R/h or 0～50 mSv/h</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2.3最大允许误差：优于±10%</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3.其他要求</w:t>
      </w:r>
      <w:r/>
    </w:p>
    <w:p>
      <w:pPr>
        <w:ind w:firstLine="480"/>
        <w:jc w:val="both"/>
        <w:spacing w:after="12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3.1交付时需带有资质的法定计量检定机构或授权机构出具的溯源证书，证书内容应满足技术规格中标明的主要技术指标、参数、范围。</w:t>
      </w:r>
      <w:r/>
    </w:p>
    <w:p>
      <w:pPr>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2、高斯计                      </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val="it-IT" w:eastAsia="zh-CN"/>
        </w:rPr>
        <w:t xml:space="preserve">1.</w:t>
      </w:r>
      <w:r>
        <w:rPr>
          <w:rFonts w:hint="eastAsia" w:ascii="宋体" w:hAnsi="宋体" w:cs="宋体"/>
          <w:color w:val="auto"/>
          <w:szCs w:val="24"/>
          <w:highlight w:val="none"/>
          <w:lang w:eastAsia="zh-CN"/>
        </w:rPr>
        <w:t xml:space="preserve">功能要求</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1.1需具备IEEE-488数据接口和通讯功能。</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1.2需配备具有温度补偿功能的配套探头，探头磁场为横向探头。</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1.3需具备直流测量模式、RMS测量模式、峰值测量模式。</w:t>
      </w:r>
      <w:r/>
    </w:p>
    <w:p>
      <w:pPr>
        <w:ind w:firstLine="480"/>
        <w:spacing w:before="163"/>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rPr>
          <w:rFonts w:hint="eastAsia" w:ascii="宋体" w:hAnsi="宋体" w:cs="宋体"/>
          <w:color w:val="auto"/>
          <w:szCs w:val="24"/>
          <w:highlight w:val="none"/>
          <w:lang w:val="it-IT" w:eastAsia="zh-CN"/>
        </w:rPr>
        <w:t xml:space="preserve">技术</w:t>
      </w:r>
      <w:r>
        <w:rPr>
          <w:rFonts w:hint="eastAsia" w:ascii="宋体" w:hAnsi="宋体" w:cs="宋体"/>
          <w:color w:val="auto"/>
          <w:szCs w:val="24"/>
          <w:highlight w:val="none"/>
          <w:lang w:eastAsia="zh-CN"/>
        </w:rPr>
        <w:t xml:space="preserve">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2.1主机测量范围：1mT～2T，DC～50 kHz频率范围。</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2.2直流测量分辨率至0.02mGs。</w:t>
      </w:r>
      <w:r/>
    </w:p>
    <w:p>
      <w:pPr>
        <w:ind w:firstLine="24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▲2.3准确度等级：0.05级。</w:t>
      </w:r>
      <w:r/>
    </w:p>
    <w:p>
      <w:pPr>
        <w:ind w:firstLine="24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▲2.4探头测量范围：DC～800Hz，3.6Gs～35kGs。</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2.5测量频率：DC to 50 kHz。</w:t>
      </w:r>
      <w:r/>
    </w:p>
    <w:p>
      <w:pPr>
        <w:ind w:left="480" w:firstLine="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2.6需≥15个通带和3个低通交流滤波。</w:t>
      </w:r>
      <w:r>
        <w:rPr>
          <w:rFonts w:hint="eastAsia" w:ascii="宋体" w:hAnsi="宋体" w:cs="宋体"/>
          <w:color w:val="auto"/>
          <w:szCs w:val="24"/>
          <w:highlight w:val="none"/>
          <w:lang w:eastAsia="zh-CN"/>
        </w:rPr>
        <w:br/>
      </w:r>
      <w:r>
        <w:rPr>
          <w:rFonts w:hint="eastAsia" w:ascii="宋体" w:hAnsi="宋体" w:cs="宋体"/>
          <w:color w:val="auto"/>
          <w:szCs w:val="24"/>
          <w:highlight w:val="none"/>
          <w:lang w:eastAsia="zh-CN"/>
        </w:rPr>
        <w:t xml:space="preserve">2.7数据缓冲器采样率不小于每秒1000个读数。</w:t>
      </w:r>
      <w:r>
        <w:rPr>
          <w:rFonts w:hint="eastAsia" w:ascii="宋体" w:hAnsi="宋体" w:cs="宋体"/>
          <w:color w:val="auto"/>
          <w:szCs w:val="24"/>
          <w:highlight w:val="none"/>
          <w:lang w:eastAsia="zh-CN"/>
        </w:rPr>
        <w:br/>
      </w:r>
      <w:r>
        <w:rPr>
          <w:rFonts w:hint="eastAsia" w:ascii="宋体" w:hAnsi="宋体" w:cs="宋体"/>
          <w:color w:val="auto"/>
          <w:szCs w:val="24"/>
          <w:highlight w:val="none"/>
          <w:lang w:eastAsia="zh-CN"/>
        </w:rPr>
        <w:t xml:space="preserve">2.8峰值捕获至20</w:t>
      </w:r>
      <w:r>
        <w:rPr>
          <w:rFonts w:hint="eastAsia" w:ascii="宋体" w:hAnsi="宋体" w:cs="宋体"/>
          <w:color w:val="auto"/>
          <w:szCs w:val="24"/>
          <w:highlight w:val="none"/>
        </w:rPr>
        <w:t xml:space="preserve">μ</w:t>
      </w:r>
      <w:r>
        <w:rPr>
          <w:rFonts w:hint="eastAsia" w:ascii="宋体" w:hAnsi="宋体" w:cs="宋体"/>
          <w:color w:val="auto"/>
          <w:szCs w:val="24"/>
          <w:highlight w:val="none"/>
          <w:lang w:eastAsia="zh-CN"/>
        </w:rPr>
        <w:t xml:space="preserve">s脉宽。</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3.其他要求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3.1交付时需带有资质的法定计量检定机构或授权机构出具的溯源证书，证书内容应满足技术规格中标明的主要技术指标、参数、范围。</w:t>
      </w:r>
      <w:r/>
    </w:p>
    <w:p>
      <w:pPr>
        <w:ind w:firstLine="482"/>
        <w:rPr>
          <w:rFonts w:ascii="宋体" w:hAnsi="宋体" w:cs="宋体"/>
          <w:b/>
          <w:color w:val="auto"/>
          <w:szCs w:val="24"/>
          <w:highlight w:val="none"/>
          <w:lang w:eastAsia="zh-CN"/>
        </w:rPr>
      </w:pPr>
      <w:r>
        <w:rPr>
          <w:rFonts w:hint="eastAsia" w:ascii="宋体" w:hAnsi="宋体" w:cs="宋体"/>
          <w:b/>
          <w:bCs/>
          <w:color w:val="auto"/>
          <w:szCs w:val="24"/>
          <w:highlight w:val="none"/>
          <w:lang w:eastAsia="zh-CN"/>
        </w:rPr>
        <w:t xml:space="preserve">3.</w:t>
      </w:r>
      <w:r>
        <w:rPr>
          <w:rFonts w:hint="eastAsia" w:ascii="宋体" w:hAnsi="宋体" w:cs="宋体"/>
          <w:b/>
          <w:color w:val="auto"/>
          <w:szCs w:val="24"/>
          <w:highlight w:val="none"/>
          <w:lang w:eastAsia="zh-CN"/>
        </w:rPr>
        <w:t xml:space="preserve">阻抗探头</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1.功能要求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1.1阻抗探头套件需适配E4990A-120等主流阻抗分析仪。</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1.2需能够进行电路内测量（印刷电路图案、电路的输入/输出阻抗等）。</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1.3需具有阻抗扫描测量功能。</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1.4被测设备可以通过使用针探头、夹子导线（鳄鱼夹适配器）或 BNC 适配器连接。</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2.技术要求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2.1</w:t>
      </w:r>
      <w:bookmarkStart w:id="18" w:name="OLE_LINK2"/>
      <w:r>
        <w:rPr>
          <w:rFonts w:hint="eastAsia" w:ascii="宋体" w:hAnsi="宋体" w:cs="宋体"/>
          <w:color w:val="auto"/>
          <w:szCs w:val="24"/>
          <w:highlight w:val="none"/>
          <w:lang w:eastAsia="zh-CN"/>
        </w:rPr>
        <w:t xml:space="preserve">频率范围：20Hz～120MHz。</w:t>
      </w:r>
      <w:bookmarkEnd w:id="18"/>
      <w:r/>
      <w:r/>
    </w:p>
    <w:p>
      <w:pPr>
        <w:ind w:firstLine="24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▲2.2电压范围：±40V。</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2.3基本精度：±1%。</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2.4探头适配类型：需可适配针式探头、夹式探头、BNC适配器等。</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2.5工作温度：（-20～75）°C。</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3.其他要求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3.1交付时需带有资质的法定计量检定机构或授权机构出具的溯源证书，证书内容应满足技术规格中标明的主要技术指标、参数、范围。</w:t>
      </w:r>
      <w:r/>
    </w:p>
    <w:p>
      <w:pPr>
        <w:ind w:firstLine="482"/>
        <w:tabs>
          <w:tab w:val="left" w:pos="435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4.端子适配器</w:t>
      </w:r>
      <w:r/>
    </w:p>
    <w:p>
      <w:pPr>
        <w:ind w:firstLine="480"/>
        <w:spacing w:before="60" w:after="60"/>
        <w:rPr>
          <w:rFonts w:ascii="宋体" w:hAnsi="宋体" w:cs="宋体"/>
          <w:color w:val="auto"/>
          <w:szCs w:val="24"/>
          <w:highlight w:val="none"/>
          <w:lang w:eastAsia="zh-CN"/>
        </w:rPr>
      </w:pPr>
      <w:r/>
      <w:bookmarkStart w:id="19" w:name="OLE_LINK6"/>
      <w:r>
        <w:rPr>
          <w:rFonts w:hint="eastAsia" w:ascii="宋体" w:hAnsi="宋体" w:cs="宋体"/>
          <w:color w:val="auto"/>
          <w:szCs w:val="24"/>
          <w:highlight w:val="none"/>
          <w:lang w:eastAsia="zh-CN"/>
        </w:rPr>
        <w:t xml:space="preserve">1.功能要求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1.1终端适配器需实现将仪器的终端配置转化为7毫米的终端配置，即没有7毫米终端连接器的仪器可以使用带有7毫米终端连接器的测试夹具。</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1.2具备可将4终端对配置转换为7毫米终端连接器，适配与E4990A一起使用。</w:t>
      </w:r>
      <w:bookmarkEnd w:id="19"/>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2.技术要求</w:t>
      </w:r>
      <w:r/>
    </w:p>
    <w:p>
      <w:pPr>
        <w:ind w:firstLine="24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▲2.1</w:t>
      </w:r>
      <w:bookmarkStart w:id="20" w:name="OLE_LINK3"/>
      <w:r>
        <w:rPr>
          <w:rFonts w:hint="eastAsia" w:ascii="宋体" w:hAnsi="宋体" w:cs="宋体"/>
          <w:color w:val="auto"/>
          <w:szCs w:val="24"/>
          <w:highlight w:val="none"/>
          <w:lang w:eastAsia="zh-CN"/>
        </w:rPr>
        <w:t xml:space="preserve">频率范围：40 Hz至110 MHz。</w:t>
      </w:r>
      <w:bookmarkEnd w:id="20"/>
      <w:r/>
      <w:r/>
    </w:p>
    <w:p>
      <w:pPr>
        <w:ind w:firstLine="24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▲2.2电压范围：±40V。</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2.3工作温度：0°C 至 +40°C。</w:t>
      </w:r>
      <w:r/>
    </w:p>
    <w:p>
      <w:pPr>
        <w:ind w:firstLine="480"/>
        <w:spacing w:before="60" w:after="60"/>
        <w:rPr>
          <w:rFonts w:ascii="宋体" w:hAnsi="宋体" w:cs="宋体"/>
          <w:color w:val="auto"/>
          <w:szCs w:val="24"/>
          <w:highlight w:val="none"/>
        </w:rPr>
      </w:pPr>
      <w:r>
        <w:rPr>
          <w:rFonts w:hint="eastAsia" w:ascii="宋体" w:hAnsi="宋体" w:cs="宋体"/>
          <w:color w:val="auto"/>
          <w:szCs w:val="24"/>
          <w:highlight w:val="none"/>
        </w:rPr>
        <w:t xml:space="preserve">2.4接口类型：输入：4-Terminal Pair BNC（连接仪器）；输出：7mm同轴接口（连接夹具）。</w:t>
      </w:r>
      <w:r/>
    </w:p>
    <w:p>
      <w:pPr>
        <w:ind w:firstLine="480"/>
        <w:spacing w:before="60" w:after="60"/>
        <w:rPr>
          <w:rFonts w:ascii="宋体" w:hAnsi="宋体" w:cs="宋体"/>
          <w:color w:val="auto"/>
          <w:szCs w:val="24"/>
          <w:highlight w:val="none"/>
        </w:rPr>
      </w:pPr>
      <w:r>
        <w:rPr>
          <w:rFonts w:hint="eastAsia" w:ascii="宋体" w:hAnsi="宋体" w:cs="宋体"/>
          <w:color w:val="auto"/>
          <w:szCs w:val="24"/>
          <w:highlight w:val="none"/>
        </w:rPr>
        <w:t xml:space="preserve">2.5尺寸：不大于190mm(W)× 55mm(H)×140mm</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D</w:t>
      </w:r>
      <w:r>
        <w:rPr>
          <w:rFonts w:hint="eastAsia" w:ascii="宋体" w:hAnsi="宋体" w:cs="宋体"/>
          <w:color w:val="auto"/>
          <w:szCs w:val="24"/>
          <w:highlight w:val="none"/>
          <w:lang w:eastAsia="zh-CN"/>
        </w:rPr>
        <w:t xml:space="preserve">）</w:t>
      </w:r>
      <w:r>
        <w:rPr>
          <w:rFonts w:hint="eastAsia" w:ascii="宋体" w:hAnsi="宋体" w:cs="宋体"/>
          <w:color w:val="auto"/>
          <w:szCs w:val="24"/>
          <w:highlight w:val="none"/>
        </w:rPr>
        <w:t xml:space="preserve">。</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2.6重量不大于800g。</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3.其他要求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3.1交付时需带有资质的法定计量检定机构或授权机构出具的溯源证书，证书内容应满足技术规格中标明的主要技术指标、参数、范围。</w:t>
      </w:r>
      <w:r/>
    </w:p>
    <w:p>
      <w:pPr>
        <w:ind w:firstLine="482"/>
        <w:tabs>
          <w:tab w:val="left" w:pos="435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5.示波器</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1.功能要求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1.1具备标准分析功能：光标测量、频谱视图、FastFrame™绘图、搜索等。</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1.2具备频率计数器触发功能。</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1.3需标配探头：每个通道一只10M</w:t>
      </w:r>
      <w:r>
        <w:rPr>
          <w:rFonts w:hint="eastAsia" w:ascii="宋体" w:hAnsi="宋体" w:cs="宋体"/>
          <w:color w:val="auto"/>
          <w:szCs w:val="24"/>
          <w:highlight w:val="none"/>
        </w:rPr>
        <w:t xml:space="preserve">Ω</w:t>
      </w:r>
      <w:r>
        <w:rPr>
          <w:rFonts w:hint="eastAsia" w:ascii="宋体" w:hAnsi="宋体" w:cs="宋体"/>
          <w:color w:val="auto"/>
          <w:szCs w:val="24"/>
          <w:highlight w:val="none"/>
          <w:lang w:eastAsia="zh-CN"/>
        </w:rPr>
        <w:t xml:space="preserve">无源电压探头。</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1.4数字电压表具备功能：4位AC RMS、DC和DC+AC RMS电压测量功能。</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1.5显示器要求：不小于15.6 英寸TFT。</w:t>
      </w:r>
      <w:r/>
    </w:p>
    <w:p>
      <w:pPr>
        <w:ind w:firstLine="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 1.6采集软件功能：配备专用示波器数据采集软件</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1.6.1具有测试管理功能，可按文件夹形式组织测试，文件夹可分配不同权限，完成的测试可归档。</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1.6.2示波器的触发设置可以根据不同产品或者不同工况，通过上位机进行手动设置和调整，触发设置条件确定后可保存为配方；在后期测试时可根据配方名称直接调用，自动设置示波器触发参数条件。</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1.6.3示波器截图时可自动获取示波器的统计数据信息（使用统计功能时） 和光标数据信息（使用光标测量时）。</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1.6.4示波器触发后可在软件上自动获取触发波形并在趋势图中显示波形。趋势图中波形可按通道显示或隐藏，X轴可放缩，可独立调整各个波形的Y轴。具有波形区间统计功能。波形数据可指定区间导出至 Excel。</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1.6.5示波器截图和获取的示波器统计数据和光标数据可自动插入到报告中，插入的位置可指定，报告模板为WORD格式，按要求提供缺省报告模板，报告模板也可编辑修改。</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1.6.6用户可以在测试电脑检索历史测试，历史测试需确定名称，检索条件为名称或者测试时间，并可以打开历史测试，生成报告</w:t>
      </w:r>
      <w:bookmarkStart w:id="21" w:name="OLE_LINK5"/>
      <w:r>
        <w:rPr>
          <w:rFonts w:hint="eastAsia" w:ascii="宋体" w:hAnsi="宋体" w:cs="宋体"/>
          <w:color w:val="auto"/>
          <w:szCs w:val="24"/>
          <w:highlight w:val="none"/>
          <w:lang w:eastAsia="zh-CN"/>
        </w:rPr>
        <w:t xml:space="preserve">。</w:t>
      </w:r>
      <w:bookmarkEnd w:id="21"/>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1.6.7 采用C/S架构，数据集中存储，方便后续扩展多客户端。</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2.技术要求</w:t>
      </w:r>
      <w:r/>
    </w:p>
    <w:p>
      <w:pPr>
        <w:ind w:firstLine="24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★2.1通道数：</w:t>
      </w:r>
      <w:bookmarkStart w:id="22" w:name="OLE_LINK7"/>
      <w:r/>
      <w:bookmarkStart w:id="23" w:name="OLE_LINK4"/>
      <w:r>
        <w:rPr>
          <w:rFonts w:hint="eastAsia" w:ascii="宋体" w:hAnsi="宋体" w:cs="宋体"/>
          <w:color w:val="auto"/>
          <w:szCs w:val="24"/>
          <w:highlight w:val="none"/>
          <w:lang w:eastAsia="zh-CN"/>
        </w:rPr>
        <w:t xml:space="preserve">≥</w:t>
      </w:r>
      <w:bookmarkEnd w:id="22"/>
      <w:r/>
      <w:bookmarkEnd w:id="23"/>
      <w:r>
        <w:rPr>
          <w:rFonts w:hint="eastAsia" w:ascii="宋体" w:hAnsi="宋体" w:cs="宋体"/>
          <w:color w:val="auto"/>
          <w:szCs w:val="24"/>
          <w:highlight w:val="none"/>
          <w:lang w:eastAsia="zh-CN"/>
        </w:rPr>
        <w:t xml:space="preserve">4通道</w:t>
      </w:r>
      <w:r/>
    </w:p>
    <w:p>
      <w:pPr>
        <w:ind w:firstLine="24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★2.2带宽：不小于1GHz</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2.3采样率：≥6.25G点/秒</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2.4深度：≥62.5M点</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2.5垂直分辨率：约为12bitADC</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2.6波形捕获率：＞500000 个波形/秒</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2.7上升时间：不大于400ps</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2.8时基范围：200ps～1000s/格</w:t>
      </w:r>
      <w:r/>
    </w:p>
    <w:p>
      <w:pPr>
        <w:ind w:firstLine="480"/>
        <w:spacing w:before="60" w:after="60"/>
        <w:rPr>
          <w:rFonts w:ascii="宋体" w:hAnsi="宋体" w:cs="宋体"/>
          <w:color w:val="auto"/>
          <w:szCs w:val="24"/>
          <w:highlight w:val="none"/>
          <w:vertAlign w:val="superscript"/>
          <w:lang w:eastAsia="zh-CN"/>
        </w:rPr>
      </w:pPr>
      <w:r>
        <w:rPr>
          <w:rFonts w:hint="eastAsia" w:ascii="宋体" w:hAnsi="宋体" w:cs="宋体"/>
          <w:color w:val="auto"/>
          <w:szCs w:val="24"/>
          <w:highlight w:val="none"/>
          <w:lang w:eastAsia="zh-CN"/>
        </w:rPr>
        <w:t xml:space="preserve">2.9时基精度：±5.0×10</w:t>
      </w:r>
      <w:r>
        <w:rPr>
          <w:rFonts w:hint="eastAsia" w:ascii="宋体" w:hAnsi="宋体" w:cs="宋体"/>
          <w:color w:val="auto"/>
          <w:szCs w:val="24"/>
          <w:highlight w:val="none"/>
          <w:vertAlign w:val="superscript"/>
          <w:lang w:eastAsia="zh-CN"/>
        </w:rPr>
        <w:t xml:space="preserve">-7</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3.其他要求</w:t>
      </w:r>
      <w:r/>
    </w:p>
    <w:p>
      <w:pPr>
        <w:ind w:firstLine="480"/>
        <w:spacing w:before="60" w:after="6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3.1交付时需带有资质的法定计量检定机构或授权机构出具的溯源证书，证书内容应满足技术规格中标明的主要技术指标、参数、范围。</w:t>
      </w:r>
      <w:bookmarkEnd w:id="17"/>
      <w:r/>
      <w:r/>
    </w:p>
    <w:p>
      <w:pPr>
        <w:pStyle w:val="994"/>
        <w:rPr>
          <w:rFonts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（四）采购标的的数量、采购项目交付或者实施的时间和地点：</w:t>
      </w:r>
      <w:r/>
    </w:p>
    <w:p>
      <w:pPr>
        <w:ind w:firstLine="48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1.采购数量：</w:t>
      </w:r>
      <w:r>
        <w:rPr>
          <w:rFonts w:hint="eastAsia" w:ascii="宋体" w:hAnsi="宋体" w:cs="宋体"/>
          <w:color w:val="auto"/>
          <w:szCs w:val="24"/>
          <w:highlight w:val="none"/>
          <w:lang w:eastAsia="zh-CN"/>
        </w:rPr>
        <w:t xml:space="preserve">电离室巡检仪1台，高斯计1台，阻抗探头1台，端子适配器1台，示波器1套</w:t>
      </w:r>
      <w:r>
        <w:rPr>
          <w:rFonts w:hint="eastAsia" w:ascii="宋体" w:hAnsi="宋体" w:cs="宋体"/>
          <w:color w:val="auto"/>
          <w:szCs w:val="24"/>
          <w:highlight w:val="none"/>
          <w:lang w:eastAsia="zh-CN"/>
        </w:rPr>
        <w:t xml:space="preserve">。</w:t>
      </w:r>
      <w:r/>
    </w:p>
    <w:p>
      <w:pPr>
        <w:ind w:firstLine="48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2.供货期：合同签订生效后4个月内，完成供货、安装、调试，交付买方使用。</w:t>
      </w:r>
      <w:r/>
    </w:p>
    <w:p>
      <w:pPr>
        <w:ind w:firstLine="48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3.质保期：一年（自安装调试验收合格之日起开始计算）。</w:t>
      </w:r>
      <w:r/>
    </w:p>
    <w:p>
      <w:pPr>
        <w:ind w:firstLine="48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4.本项目实施地点：无锡市锡山区东亭春新东路8号西大楼（无锡市检验检测认证研究院）。</w:t>
      </w:r>
      <w:r/>
    </w:p>
    <w:p>
      <w:pPr>
        <w:ind w:firstLine="48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5.合同签订生效后30日内，采购人预付总货款的30%；货到验收合格交付采购人使用，供应商提供增值税专用发票后30日内采购人支付余款70%</w:t>
      </w:r>
      <w:bookmarkEnd w:id="15"/>
      <w:r/>
      <w:r/>
    </w:p>
    <w:p>
      <w:pPr>
        <w:ind w:firstLine="241"/>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（五）采购标的验收标准：</w:t>
      </w:r>
      <w:r/>
    </w:p>
    <w:p>
      <w:pPr>
        <w:ind w:firstLine="24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1.货物的验收包括：数量、外观、质量、性能、质保单、包装和乙方承诺的其他指标；</w:t>
      </w:r>
      <w:r/>
    </w:p>
    <w:p>
      <w:pPr>
        <w:ind w:firstLine="24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2.验收标准根据有关规定及技术要求，原则上以通过计量检定或校准合格为准。</w:t>
      </w:r>
      <w:r/>
    </w:p>
    <w:p>
      <w:pPr>
        <w:ind w:firstLine="171"/>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（六）其他有关说明：</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1.报价说明：</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①本项目投标报价包括满足本项目要求的所有产品及其配件、包装、运费、保险、进口代理费用、安装调试及售后服务等从项目中标起到项目正式交付以及免费质保期内所发生的一切费用。</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②若为进口产品，投标供应商总报价应分项列明设备价格和进口报关税费（关税及进口环节增值税）。</w:t>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③若采购人在确定中标供应商后能获得海关免税批准，结算价仅按照设备价格计入，即如果报价中包含了进口设备的进口报关税费，则在实际结算款项时，应当扣除报价当中所列的进口报关税费。</w:t>
      </w:r>
      <w:r/>
    </w:p>
    <w:p>
      <w:pPr>
        <w:ind w:firstLine="480"/>
        <w:rPr>
          <w:color w:val="auto"/>
          <w:highlight w:val="none"/>
          <w:lang w:eastAsia="zh-CN"/>
        </w:rPr>
      </w:pPr>
      <w:r>
        <w:rPr>
          <w:rFonts w:hint="eastAsia" w:ascii="宋体" w:hAnsi="宋体" w:cs="宋体"/>
          <w:color w:val="auto"/>
          <w:szCs w:val="24"/>
          <w:highlight w:val="none"/>
          <w:lang w:eastAsia="zh-CN"/>
        </w:rPr>
        <w:t xml:space="preserve">2.本项目允许进口产品投标的标的优先采购向我国企业转让技术、与我国企业签订消化吸收再创新方案的供应商的进口产品。</w:t>
      </w:r>
      <w:bookmarkStart w:id="24" w:name="_Toc161316667"/>
      <w:r>
        <w:rPr>
          <w:rFonts w:hint="eastAsia"/>
          <w:color w:val="auto"/>
          <w:highlight w:val="none"/>
          <w:lang w:eastAsia="zh-CN"/>
        </w:rPr>
        <w:br w:type="page" w:clear="all"/>
      </w:r>
      <w:r/>
    </w:p>
    <w:p>
      <w:pPr>
        <w:pStyle w:val="991"/>
        <w:rPr>
          <w:color w:val="auto"/>
          <w:highlight w:val="none"/>
          <w:lang w:eastAsia="zh-CN"/>
        </w:rPr>
      </w:pPr>
      <w:r>
        <w:rPr>
          <w:rFonts w:hint="eastAsia"/>
          <w:color w:val="auto"/>
          <w:highlight w:val="none"/>
          <w:lang w:eastAsia="zh-CN"/>
        </w:rPr>
        <w:t xml:space="preserve">四、合同书（格式文本）</w:t>
      </w:r>
      <w:bookmarkEnd w:id="24"/>
      <w:r/>
      <w:r/>
    </w:p>
    <w:p>
      <w:pPr>
        <w:ind w:firstLine="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甲方（采购人）：</w:t>
      </w:r>
      <w:r>
        <w:rPr>
          <w:rFonts w:hint="eastAsia" w:ascii="宋体" w:hAnsi="宋体" w:cs="宋体"/>
          <w:bCs/>
          <w:color w:val="auto"/>
          <w:szCs w:val="24"/>
          <w:highlight w:val="none"/>
          <w:u w:val="single"/>
          <w:lang w:eastAsia="zh-CN"/>
        </w:rPr>
        <w:t xml:space="preserve">                         </w:t>
      </w:r>
      <w:r/>
    </w:p>
    <w:p>
      <w:pPr>
        <w:ind w:firstLine="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乙方（中标供应商）：</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一、采购项目编号：</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二、采购内容：</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三、中标总金额：（大写）</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；（小写）</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四、质量及验收标准：</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五、供货期：</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六、货款支付步骤和办法：</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七、违约责任：</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八、</w:t>
      </w:r>
      <w:r>
        <w:rPr>
          <w:rFonts w:hint="eastAsia" w:ascii="宋体" w:hAnsi="宋体" w:cs="宋体"/>
          <w:color w:val="auto"/>
          <w:szCs w:val="24"/>
          <w:highlight w:val="none"/>
          <w:lang w:eastAsia="zh-CN"/>
        </w:rPr>
        <w:t xml:space="preserve">解决争议的方式：</w:t>
      </w:r>
      <w:r>
        <w:rPr>
          <w:rFonts w:hint="eastAsia" w:ascii="宋体" w:hAnsi="宋体" w:cs="宋体"/>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九、其他事项：</w:t>
      </w:r>
      <w:r>
        <w:rPr>
          <w:rFonts w:hint="eastAsia" w:ascii="宋体" w:hAnsi="宋体" w:cs="宋体"/>
          <w:bCs/>
          <w:color w:val="auto"/>
          <w:szCs w:val="24"/>
          <w:highlight w:val="none"/>
          <w:u w:val="single"/>
          <w:lang w:eastAsia="zh-CN"/>
        </w:rPr>
        <w:t xml:space="preserve">                                                             </w:t>
      </w:r>
      <w:r/>
    </w:p>
    <w:p>
      <w:pPr>
        <w:ind w:firstLine="523"/>
        <w:jc w:val="both"/>
        <w:widowControl w:val="off"/>
        <w:tabs>
          <w:tab w:val="left" w:pos="210" w:leader="none"/>
          <w:tab w:val="left" w:pos="840" w:leader="none"/>
          <w:tab w:val="left" w:pos="126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十、合同不可分割部分：</w:t>
      </w:r>
      <w:r/>
    </w:p>
    <w:p>
      <w:pPr>
        <w:ind w:firstLine="480"/>
        <w:jc w:val="both"/>
        <w:widowControl w:val="off"/>
        <w:tabs>
          <w:tab w:val="left" w:pos="210" w:leader="none"/>
          <w:tab w:val="left" w:pos="42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招标文件、投标文件、合同条款及中标通知书，乙方在投标、评审过程中所作其它有关承诺、声明、书面澄清等均为合同不可分割的部分，与主合同具有同等法律效力。</w:t>
      </w:r>
      <w:r/>
    </w:p>
    <w:p>
      <w:pPr>
        <w:ind w:firstLine="523"/>
        <w:jc w:val="both"/>
        <w:widowControl w:val="off"/>
        <w:tabs>
          <w:tab w:val="left" w:pos="210" w:leader="none"/>
          <w:tab w:val="left" w:pos="84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十一、合同备案：</w:t>
      </w:r>
      <w:r/>
    </w:p>
    <w:p>
      <w:pPr>
        <w:ind w:firstLine="480"/>
        <w:jc w:val="both"/>
        <w:widowControl w:val="o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本合同一式柒份，甲方执叁份，乙方执叁份。</w:t>
      </w:r>
      <w:r/>
    </w:p>
    <w:p>
      <w:pPr>
        <w:ind w:firstLine="523"/>
        <w:jc w:val="both"/>
        <w:widowControl w:val="off"/>
        <w:tabs>
          <w:tab w:val="left" w:pos="210" w:leader="none"/>
          <w:tab w:val="left" w:pos="84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十二、生效：</w:t>
      </w:r>
      <w:r/>
    </w:p>
    <w:p>
      <w:pPr>
        <w:ind w:firstLine="48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本合同由甲乙双方签字、盖章后生效。</w:t>
      </w:r>
      <w:r/>
    </w:p>
    <w:p>
      <w:pPr>
        <w:ind w:firstLine="0"/>
        <w:jc w:val="both"/>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甲方（采购人）：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（盖章） 乙方（中标供应商）：</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（盖章）</w:t>
      </w:r>
      <w:r/>
    </w:p>
    <w:p>
      <w:pPr>
        <w:ind w:firstLine="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法定（授权）代表人：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   法定（授权）代表人：</w:t>
      </w:r>
      <w:r>
        <w:rPr>
          <w:rFonts w:hint="eastAsia" w:ascii="宋体" w:hAnsi="宋体" w:cs="宋体"/>
          <w:bCs/>
          <w:color w:val="auto"/>
          <w:szCs w:val="24"/>
          <w:highlight w:val="none"/>
          <w:u w:val="single"/>
          <w:lang w:eastAsia="zh-CN"/>
        </w:rPr>
        <w:t xml:space="preserve">                   </w:t>
      </w:r>
      <w:r/>
    </w:p>
    <w:p>
      <w:pPr>
        <w:ind w:firstLine="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年</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月</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日               </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年</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月</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日</w:t>
      </w:r>
      <w:r/>
    </w:p>
    <w:p>
      <w:pPr>
        <w:ind w:firstLine="0"/>
        <w:jc w:val="both"/>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08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    乙方户名：</w:t>
      </w:r>
      <w:r>
        <w:rPr>
          <w:rFonts w:hint="eastAsia" w:ascii="宋体" w:hAnsi="宋体" w:cs="宋体"/>
          <w:bCs/>
          <w:color w:val="auto"/>
          <w:szCs w:val="24"/>
          <w:highlight w:val="none"/>
          <w:u w:val="single"/>
          <w:lang w:eastAsia="zh-CN"/>
        </w:rPr>
        <w:t xml:space="preserve">                             </w:t>
      </w:r>
      <w:r/>
    </w:p>
    <w:p>
      <w:pPr>
        <w:ind w:firstLine="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                                      乙方开户银行：</w:t>
      </w:r>
      <w:r>
        <w:rPr>
          <w:rFonts w:hint="eastAsia" w:ascii="宋体" w:hAnsi="宋体" w:cs="宋体"/>
          <w:bCs/>
          <w:color w:val="auto"/>
          <w:szCs w:val="24"/>
          <w:highlight w:val="none"/>
          <w:u w:val="single"/>
          <w:lang w:eastAsia="zh-CN"/>
        </w:rPr>
        <w:t xml:space="preserve">                         </w:t>
      </w:r>
      <w:r/>
    </w:p>
    <w:p>
      <w:pPr>
        <w:ind w:firstLine="0"/>
        <w:jc w:val="both"/>
        <w:widowControl w:val="off"/>
        <w:rPr>
          <w:rFonts w:ascii="宋体" w:hAnsi="宋体" w:cs="宋体"/>
          <w:bCs/>
          <w:color w:val="auto"/>
          <w:szCs w:val="24"/>
          <w:highlight w:val="none"/>
          <w:u w:val="single"/>
          <w:lang w:eastAsia="zh-CN"/>
        </w:rPr>
      </w:pPr>
      <w:r>
        <w:rPr>
          <w:rFonts w:hint="eastAsia" w:ascii="宋体" w:hAnsi="宋体" w:cs="宋体"/>
          <w:bCs/>
          <w:color w:val="auto"/>
          <w:szCs w:val="24"/>
          <w:highlight w:val="none"/>
          <w:lang w:eastAsia="zh-CN"/>
        </w:rPr>
        <w:t xml:space="preserve">                                      乙方账号：</w:t>
      </w:r>
      <w:r>
        <w:rPr>
          <w:rFonts w:hint="eastAsia" w:ascii="宋体" w:hAnsi="宋体" w:cs="宋体"/>
          <w:bCs/>
          <w:color w:val="auto"/>
          <w:szCs w:val="24"/>
          <w:highlight w:val="none"/>
          <w:u w:val="single"/>
          <w:lang w:eastAsia="zh-CN"/>
        </w:rPr>
        <w:t xml:space="preserve">                             </w:t>
      </w:r>
      <w:r/>
    </w:p>
    <w:p>
      <w:pPr>
        <w:ind w:firstLine="0"/>
        <w:widowControl w:val="off"/>
        <w:rPr>
          <w:rFonts w:ascii="宋体" w:hAnsi="宋体" w:cs="宋体"/>
          <w:bCs/>
          <w:color w:val="auto"/>
          <w:szCs w:val="24"/>
          <w:highlight w:val="none"/>
          <w:lang w:eastAsia="zh-CN"/>
        </w:rPr>
      </w:pPr>
      <w:r>
        <w:rPr>
          <w:rFonts w:hint="eastAsia" w:ascii="宋体" w:hAnsi="宋体" w:cs="宋体"/>
          <w:b/>
          <w:bCs/>
          <w:color w:val="auto"/>
          <w:szCs w:val="24"/>
          <w:highlight w:val="none"/>
          <w:lang w:eastAsia="zh-CN"/>
        </w:rPr>
        <w:t xml:space="preserve"> </w:t>
      </w:r>
      <w:r/>
    </w:p>
    <w:p>
      <w:pPr>
        <w:ind w:firstLine="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w:t>
      </w:r>
      <w:r>
        <w:rPr>
          <w:rFonts w:hint="eastAsia" w:ascii="宋体" w:hAnsi="宋体" w:cs="宋体"/>
          <w:b/>
          <w:bCs/>
          <w:color w:val="auto"/>
          <w:szCs w:val="24"/>
          <w:highlight w:val="none"/>
          <w:lang w:eastAsia="zh-CN"/>
        </w:rPr>
        <w:t xml:space="preserve">备注：</w:t>
      </w:r>
      <w:r>
        <w:rPr>
          <w:rFonts w:hint="eastAsia" w:ascii="宋体" w:hAnsi="宋体" w:cs="宋体"/>
          <w:bCs/>
          <w:color w:val="auto"/>
          <w:szCs w:val="24"/>
          <w:highlight w:val="none"/>
          <w:lang w:eastAsia="zh-CN"/>
        </w:rPr>
        <w:t xml:space="preserve">甲乙双方必须以本格式文本拟订合同。</w:t>
      </w:r>
      <w:r/>
    </w:p>
    <w:p>
      <w:pPr>
        <w:ind w:firstLine="0"/>
        <w:jc w:val="center"/>
        <w:widowControl w:val="off"/>
        <w:rPr>
          <w:rFonts w:eastAsia="黑体"/>
          <w:b/>
          <w:bCs/>
          <w:color w:val="auto"/>
          <w:sz w:val="36"/>
          <w:szCs w:val="44"/>
          <w:highlight w:val="none"/>
          <w:lang w:eastAsia="zh-CN"/>
        </w:rPr>
      </w:pPr>
      <w:r>
        <w:rPr>
          <w:rFonts w:hint="eastAsia" w:ascii="宋体" w:hAnsi="宋体" w:cs="宋体"/>
          <w:b/>
          <w:color w:val="auto"/>
          <w:szCs w:val="24"/>
          <w:highlight w:val="none"/>
          <w:lang w:eastAsia="zh-CN"/>
        </w:rPr>
        <w:br w:type="page" w:clear="all"/>
      </w:r>
      <w:r>
        <w:rPr>
          <w:rFonts w:hint="eastAsia" w:eastAsia="黑体"/>
          <w:b/>
          <w:bCs/>
          <w:color w:val="auto"/>
          <w:sz w:val="36"/>
          <w:szCs w:val="44"/>
          <w:highlight w:val="none"/>
          <w:lang w:eastAsia="zh-CN"/>
        </w:rPr>
        <w:t xml:space="preserve">合同条款</w:t>
      </w:r>
      <w:r/>
    </w:p>
    <w:p>
      <w:pPr>
        <w:contextualSpacing/>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根据江苏华诚工程管理咨询有限公司编号</w:t>
      </w:r>
      <w:r>
        <w:rPr>
          <w:rFonts w:hint="eastAsia" w:ascii="宋体" w:hAnsi="宋体" w:cs="宋体"/>
          <w:bCs/>
          <w:color w:val="auto"/>
          <w:szCs w:val="24"/>
          <w:highlight w:val="none"/>
          <w:u w:val="single"/>
          <w:lang w:eastAsia="zh-CN"/>
        </w:rPr>
        <w:t xml:space="preserve"> JSZC-320200-HCCC-G2025-0014  </w:t>
      </w:r>
      <w:r>
        <w:rPr>
          <w:rFonts w:hint="eastAsia" w:ascii="宋体" w:hAnsi="宋体" w:cs="宋体"/>
          <w:bCs/>
          <w:color w:val="auto"/>
          <w:szCs w:val="24"/>
          <w:highlight w:val="none"/>
          <w:lang w:eastAsia="zh-CN"/>
        </w:rPr>
        <w:t xml:space="preserve">招标文件和该文件的中标通知书及乙方投标文件，甲乙双方就此次</w:t>
      </w:r>
      <w:r>
        <w:rPr>
          <w:rFonts w:hint="eastAsia" w:ascii="宋体" w:hAnsi="宋体" w:cs="宋体"/>
          <w:bCs/>
          <w:color w:val="auto"/>
          <w:szCs w:val="24"/>
          <w:highlight w:val="none"/>
          <w:u w:val="single"/>
          <w:lang w:eastAsia="zh-CN"/>
        </w:rPr>
        <w:t xml:space="preserve">一批多参数电学检测设备采购项目</w:t>
      </w:r>
      <w:r>
        <w:rPr>
          <w:rFonts w:hint="eastAsia" w:ascii="宋体" w:hAnsi="宋体" w:cs="宋体"/>
          <w:bCs/>
          <w:color w:val="auto"/>
          <w:szCs w:val="24"/>
          <w:highlight w:val="none"/>
          <w:lang w:eastAsia="zh-CN"/>
        </w:rPr>
        <w:t xml:space="preserve">及相关问题，同意按下列条款规定执行。</w:t>
      </w:r>
      <w:r/>
    </w:p>
    <w:p>
      <w:pPr>
        <w:contextualSpacing/>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（一）合同内容：</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w:t>
      </w:r>
      <w:r/>
    </w:p>
    <w:p>
      <w:pPr>
        <w:contextualSpacing/>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（二）采购数量：</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w:t>
      </w:r>
      <w:r/>
    </w:p>
    <w:p>
      <w:pPr>
        <w:contextualSpacing/>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（三）价格及支付：</w:t>
      </w:r>
      <w:r/>
    </w:p>
    <w:p>
      <w:pPr>
        <w:contextualSpacing/>
        <w:ind w:firstLine="480"/>
        <w:tabs>
          <w:tab w:val="left" w:pos="525" w:leader="none"/>
          <w:tab w:val="left" w:pos="105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1.按此次中标价格执行，合同总标的额为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元。</w:t>
      </w:r>
      <w:r/>
    </w:p>
    <w:p>
      <w:pPr>
        <w:contextualSpacing/>
        <w:ind w:firstLine="480"/>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2.付款方式：</w:t>
      </w:r>
      <w:r>
        <w:rPr>
          <w:rFonts w:hint="eastAsia" w:ascii="宋体" w:hAnsi="宋体" w:cs="宋体"/>
          <w:color w:val="auto"/>
          <w:szCs w:val="24"/>
          <w:highlight w:val="none"/>
          <w:lang w:eastAsia="zh-CN"/>
        </w:rPr>
        <w:t xml:space="preserve">合同签订生效后30日内，</w:t>
      </w:r>
      <w:r>
        <w:rPr>
          <w:rFonts w:hint="eastAsia" w:ascii="宋体" w:hAnsi="宋体" w:cs="宋体"/>
          <w:bCs/>
          <w:color w:val="auto"/>
          <w:szCs w:val="24"/>
          <w:highlight w:val="none"/>
          <w:lang w:eastAsia="zh-CN"/>
        </w:rPr>
        <w:t xml:space="preserve">甲方支</w:t>
      </w:r>
      <w:r>
        <w:rPr>
          <w:rFonts w:hint="eastAsia" w:ascii="宋体" w:hAnsi="宋体" w:cs="宋体"/>
          <w:color w:val="auto"/>
          <w:szCs w:val="24"/>
          <w:highlight w:val="none"/>
          <w:lang w:eastAsia="zh-CN"/>
        </w:rPr>
        <w:t xml:space="preserve">付总货款的30%；货到验收合格出具证书交付</w:t>
      </w:r>
      <w:r>
        <w:rPr>
          <w:rFonts w:hint="eastAsia" w:ascii="宋体" w:hAnsi="宋体" w:cs="宋体"/>
          <w:bCs/>
          <w:color w:val="auto"/>
          <w:szCs w:val="24"/>
          <w:highlight w:val="none"/>
          <w:lang w:eastAsia="zh-CN"/>
        </w:rPr>
        <w:t xml:space="preserve">甲方</w:t>
      </w:r>
      <w:r>
        <w:rPr>
          <w:rFonts w:hint="eastAsia" w:ascii="宋体" w:hAnsi="宋体" w:cs="宋体"/>
          <w:color w:val="auto"/>
          <w:szCs w:val="24"/>
          <w:highlight w:val="none"/>
          <w:lang w:eastAsia="zh-CN"/>
        </w:rPr>
        <w:t xml:space="preserve">使用，</w:t>
      </w:r>
      <w:r>
        <w:rPr>
          <w:rFonts w:hint="eastAsia" w:ascii="宋体" w:hAnsi="宋体" w:cs="宋体"/>
          <w:bCs/>
          <w:color w:val="auto"/>
          <w:szCs w:val="24"/>
          <w:highlight w:val="none"/>
          <w:lang w:eastAsia="zh-CN"/>
        </w:rPr>
        <w:t xml:space="preserve">乙方</w:t>
      </w:r>
      <w:r>
        <w:rPr>
          <w:rFonts w:hint="eastAsia" w:ascii="宋体" w:hAnsi="宋体" w:cs="宋体"/>
          <w:color w:val="auto"/>
          <w:szCs w:val="24"/>
          <w:highlight w:val="none"/>
          <w:lang w:eastAsia="zh-CN"/>
        </w:rPr>
        <w:t xml:space="preserve">提供增值税专用发票后30日内</w:t>
      </w:r>
      <w:r>
        <w:rPr>
          <w:rFonts w:hint="eastAsia" w:ascii="宋体" w:hAnsi="宋体" w:cs="宋体"/>
          <w:bCs/>
          <w:color w:val="auto"/>
          <w:szCs w:val="24"/>
          <w:highlight w:val="none"/>
          <w:lang w:eastAsia="zh-CN"/>
        </w:rPr>
        <w:t xml:space="preserve">甲方</w:t>
      </w:r>
      <w:r>
        <w:rPr>
          <w:rFonts w:hint="eastAsia" w:ascii="宋体" w:hAnsi="宋体" w:cs="宋体"/>
          <w:color w:val="auto"/>
          <w:szCs w:val="24"/>
          <w:highlight w:val="none"/>
          <w:lang w:eastAsia="zh-CN"/>
        </w:rPr>
        <w:t xml:space="preserve">支付余款70%。</w:t>
      </w:r>
      <w:r/>
    </w:p>
    <w:p>
      <w:pPr>
        <w:contextualSpacing/>
        <w:ind w:firstLine="480"/>
        <w:tabs>
          <w:tab w:val="left" w:pos="0" w:leader="none"/>
          <w:tab w:val="left" w:pos="136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（四）知识产权</w:t>
      </w:r>
      <w:r/>
    </w:p>
    <w:p>
      <w:pPr>
        <w:contextualSpacing/>
        <w:ind w:firstLine="480"/>
        <w:tabs>
          <w:tab w:val="left" w:pos="94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w:t>
      </w:r>
      <w:r/>
    </w:p>
    <w:p>
      <w:pPr>
        <w:contextualSpacing/>
        <w:ind w:firstLine="480"/>
        <w:tabs>
          <w:tab w:val="left" w:pos="73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（五）质量要求与检验：</w:t>
      </w:r>
      <w:r/>
    </w:p>
    <w:p>
      <w:pPr>
        <w:contextualSpacing/>
        <w:ind w:firstLine="520"/>
        <w:tabs>
          <w:tab w:val="left" w:pos="525" w:leader="none"/>
          <w:tab w:val="left" w:pos="105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1.乙方应严格按照招标文件的有关规定和乙方投标文件提供合格的货物及服务。                                   </w:t>
      </w:r>
      <w:r/>
    </w:p>
    <w:p>
      <w:pPr>
        <w:contextualSpacing/>
        <w:ind w:firstLine="520"/>
        <w:tabs>
          <w:tab w:val="left" w:pos="105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如果任何被检验的货物或服务不符合质量要求，甲方均可以拒绝接受，乙方应及时更换被拒绝的货物或重新提供服务，且不得影响甲方正常工作，费用由乙方承担，如因更换或重作导致乙方逾期交付货物的，乙方还应承担逾期交付的违约责任。本规定并不免除乙方在本合同项下的货物质量保证义务或其他义务。</w:t>
      </w:r>
      <w:r/>
    </w:p>
    <w:p>
      <w:pPr>
        <w:contextualSpacing/>
        <w:ind w:firstLine="520"/>
        <w:tabs>
          <w:tab w:val="left" w:pos="420" w:leader="none"/>
          <w:tab w:val="left" w:pos="105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3.货物的到货验收包括：数量、外观、质量、性能、随机备件、装箱单、质量证书等随机资料及包装完整无破损。</w:t>
      </w:r>
      <w:r/>
    </w:p>
    <w:p>
      <w:pPr>
        <w:contextualSpacing/>
        <w:ind w:firstLine="520"/>
        <w:tabs>
          <w:tab w:val="left" w:pos="105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4.货物和系统调试验收标准：按行业通行标准、厂方出厂标准、招标文件要求和乙方投标文件的承诺，并不低于国家相关标准。</w:t>
      </w:r>
      <w:r/>
    </w:p>
    <w:p>
      <w:pPr>
        <w:contextualSpacing/>
        <w:ind w:firstLine="520"/>
        <w:tabs>
          <w:tab w:val="left" w:pos="105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5.货物运到甲方指定地点并经甲方验证签收后，由于甲方保管不善造成的质量问题，乙方应负责修理，但有关费用由甲方承担。</w:t>
      </w:r>
      <w:r/>
    </w:p>
    <w:p>
      <w:pPr>
        <w:contextualSpacing/>
        <w:ind w:firstLine="520"/>
        <w:tabs>
          <w:tab w:val="left" w:pos="105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的违约责任。</w:t>
      </w:r>
      <w:r/>
    </w:p>
    <w:p>
      <w:pPr>
        <w:contextualSpacing/>
        <w:ind w:firstLine="520"/>
        <w:tabs>
          <w:tab w:val="left" w:pos="105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7. 甲方不得擅自变更招投标文件约定的性能、指标等相关内容，如有变更应按《中华人民共和国政府采购法》、财政部《政府采购货物和服务招标投标管理办法》的相关程序执行。</w:t>
      </w:r>
      <w:r/>
    </w:p>
    <w:p>
      <w:pPr>
        <w:ind w:left="-2" w:firstLine="520"/>
        <w:spacing w:line="460" w:lineRule="exact"/>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（六）交货条件：</w:t>
      </w:r>
      <w:r/>
    </w:p>
    <w:p>
      <w:pPr>
        <w:ind w:firstLine="520"/>
        <w:spacing w:line="460" w:lineRule="exact"/>
        <w:tabs>
          <w:tab w:val="left" w:pos="420"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1.交货日期（或完工期）：</w:t>
      </w:r>
      <w:r>
        <w:rPr>
          <w:rFonts w:hint="eastAsia" w:ascii="宋体" w:hAnsi="宋体" w:cs="宋体"/>
          <w:bCs/>
          <w:color w:val="auto"/>
          <w:szCs w:val="24"/>
          <w:highlight w:val="none"/>
          <w:u w:val="single"/>
          <w:lang w:eastAsia="zh-CN"/>
        </w:rPr>
        <w:t xml:space="preserve">                </w:t>
      </w:r>
      <w:r/>
    </w:p>
    <w:p>
      <w:pPr>
        <w:ind w:firstLine="520"/>
        <w:spacing w:line="460" w:lineRule="exact"/>
        <w:tabs>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2.乙方在验收时应先用信函、传真、电子邮件等书面方式通知甲方。</w:t>
      </w:r>
      <w:r/>
    </w:p>
    <w:p>
      <w:pPr>
        <w:ind w:firstLine="520"/>
        <w:spacing w:line="460" w:lineRule="exact"/>
        <w:tabs>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货物的外观、包装、运输应按国家有关规定或相关部颁标准执行。如因乙方包装或运输不当等原因造成损坏或丢失，应由乙方负责调换或补缺，如因此导致乙方逾期交付货物的，乙方还应承担逾期交付的违约责任。</w:t>
      </w:r>
      <w:r/>
    </w:p>
    <w:p>
      <w:pPr>
        <w:ind w:firstLine="520"/>
        <w:spacing w:line="460" w:lineRule="exact"/>
        <w:tabs>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4.货物交货时，所有货物必须带有货物质量检验合格证书、中文质保单、装箱单、中文货物安装使用说明书。其他附件所有部件必须原包装。</w:t>
      </w:r>
      <w:r/>
    </w:p>
    <w:p>
      <w:pPr>
        <w:ind w:left="2" w:firstLine="520"/>
        <w:spacing w:line="460" w:lineRule="exact"/>
        <w:tabs>
          <w:tab w:val="left" w:pos="945" w:leader="none"/>
          <w:tab w:val="left" w:pos="115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5.运输及到货地点：由乙方负责办理运输并承担所有费用，直接送到甲方指定地点，即：</w:t>
      </w:r>
      <w:r>
        <w:rPr>
          <w:rFonts w:hint="eastAsia" w:ascii="宋体" w:hAnsi="宋体" w:cs="宋体"/>
          <w:bCs/>
          <w:color w:val="auto"/>
          <w:szCs w:val="24"/>
          <w:highlight w:val="none"/>
          <w:u w:val="single"/>
          <w:lang w:eastAsia="zh-CN"/>
        </w:rPr>
        <w:t xml:space="preserve"> 无锡市锡山区东亭春新东路8号西大楼（无锡市检验检测认证研究院）</w:t>
      </w:r>
      <w:r>
        <w:rPr>
          <w:rFonts w:hint="eastAsia" w:ascii="宋体" w:hAnsi="宋体" w:cs="宋体"/>
          <w:bCs/>
          <w:color w:val="auto"/>
          <w:szCs w:val="24"/>
          <w:highlight w:val="none"/>
          <w:lang w:eastAsia="zh-CN"/>
        </w:rPr>
        <w:t xml:space="preserve">。</w:t>
      </w:r>
      <w:r/>
    </w:p>
    <w:p>
      <w:pPr>
        <w:ind w:firstLine="480"/>
        <w:spacing w:line="460" w:lineRule="exact"/>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（七）安装调试及售后服务：</w:t>
      </w:r>
      <w:r/>
    </w:p>
    <w:p>
      <w:pPr>
        <w:ind w:firstLine="480"/>
        <w:spacing w:line="460" w:lineRule="exact"/>
        <w:tabs>
          <w:tab w:val="left" w:pos="525" w:leader="none"/>
          <w:tab w:val="left" w:pos="840" w:leader="none"/>
          <w:tab w:val="left" w:pos="94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1.乙方负责本项目的安装和调试，并保证其提供的货物符合国家、行业、地方、招投标文件及合同规定的质量、性能和标准，并正确且安全地安装。</w:t>
      </w:r>
      <w:r/>
    </w:p>
    <w:p>
      <w:pPr>
        <w:ind w:firstLine="480"/>
        <w:spacing w:line="460" w:lineRule="exact"/>
        <w:tabs>
          <w:tab w:val="left" w:pos="525" w:leader="none"/>
          <w:tab w:val="left" w:pos="840" w:leader="none"/>
          <w:tab w:val="left" w:pos="945" w:leader="none"/>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2.乙方提供的服务全部按照国家有关法律法规规章和“三包”规定以及按照招标文件要求和乙方投标文件中的承诺执行。</w:t>
      </w:r>
      <w:r/>
    </w:p>
    <w:p>
      <w:pPr>
        <w:ind w:firstLine="480"/>
        <w:spacing w:line="460" w:lineRule="exact"/>
        <w:tabs>
          <w:tab w:val="left" w:pos="525" w:leader="none"/>
          <w:tab w:val="left" w:pos="840" w:leader="none"/>
          <w:tab w:val="left" w:pos="945" w:leader="none"/>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3.质保期后的货物维护由双方协商再定。</w:t>
      </w:r>
      <w:r/>
    </w:p>
    <w:p>
      <w:pPr>
        <w:ind w:firstLine="480"/>
        <w:spacing w:line="460" w:lineRule="exact"/>
        <w:tabs>
          <w:tab w:val="left" w:pos="525" w:leader="none"/>
          <w:tab w:val="left" w:pos="840" w:leader="none"/>
          <w:tab w:val="left" w:pos="945" w:leader="none"/>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4.甲方应向乙方现场调试的技术人员及维修人员提供方便条件，有关费用由乙方负责。</w:t>
      </w:r>
      <w:r/>
    </w:p>
    <w:p>
      <w:pPr>
        <w:ind w:firstLine="480"/>
        <w:spacing w:line="460" w:lineRule="exact"/>
        <w:tabs>
          <w:tab w:val="left" w:pos="525" w:leader="none"/>
          <w:tab w:val="left" w:pos="840" w:leader="none"/>
          <w:tab w:val="left" w:pos="945" w:leader="none"/>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5.甲方如要求乙方提供招标文件及乙方投标文件以外的其他服务，其费用另定。</w:t>
      </w:r>
      <w:r/>
    </w:p>
    <w:p>
      <w:pPr>
        <w:ind w:firstLine="480"/>
        <w:spacing w:line="460" w:lineRule="exact"/>
        <w:tabs>
          <w:tab w:val="left" w:pos="525" w:leader="none"/>
          <w:tab w:val="left" w:pos="840" w:leader="none"/>
          <w:tab w:val="left" w:pos="945" w:leader="none"/>
          <w:tab w:val="left" w:pos="1050" w:leader="none"/>
          <w:tab w:val="left" w:pos="1839" w:leader="none"/>
        </w:tabs>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6.仪器在调试通过后提供质保服务，质保期一年；在质保期内，所有服务及配件（除耗材外）全部免费。在质保期内，甲方在使用设备的过程中遇到的技术问题、故障等，乙方接到报修后8小时内电话响应，如有需要72小时内上门，维修日程不超过7个工作日。</w:t>
      </w:r>
      <w:r/>
    </w:p>
    <w:p>
      <w:pPr>
        <w:ind w:firstLine="480"/>
        <w:spacing w:line="460" w:lineRule="exact"/>
        <w:tabs>
          <w:tab w:val="left" w:pos="525" w:leader="none"/>
          <w:tab w:val="left" w:pos="840" w:leader="none"/>
          <w:tab w:val="left" w:pos="945" w:leader="none"/>
          <w:tab w:val="left" w:pos="1050" w:leader="none"/>
          <w:tab w:val="left" w:pos="1839"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乙方应负责设备的运输、搬运、安装调试，直至验收合格，该过程所产生费用由乙方承担。仪器到达最终甲方现场后，甲方有权抽选多个仪器组件或整机送往具有相应资质的检测机构，对招标文件中要求参数进行检测，如不符合招标文件要求，本包仪器无条件退货处理，检测产生的相关费用由乙方承担。在接到甲方通知安装、调试后1周内，需由生产商安排工程技术人员到甲方现场安装、调试仪器，按验收指标逐项测试，直至达到验收要求。设备安装调试须在甲方通知安装、调试后10天内完成。</w:t>
      </w:r>
      <w:r/>
    </w:p>
    <w:p>
      <w:pPr>
        <w:ind w:firstLine="480"/>
        <w:spacing w:line="460" w:lineRule="exact"/>
        <w:tabs>
          <w:tab w:val="left" w:pos="525" w:leader="none"/>
          <w:tab w:val="left" w:pos="840" w:leader="none"/>
          <w:tab w:val="left" w:pos="945" w:leader="none"/>
          <w:tab w:val="left" w:pos="1050" w:leader="none"/>
          <w:tab w:val="left" w:pos="1839"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8.乙方对本合同履行过程中所知悉的甲方全部文件、资料、信息等负有保密义务。未经甲方书面同意，乙方不得擅自披露、泄露、使用或用于本合同约定之外的目的。</w:t>
      </w:r>
      <w:r/>
    </w:p>
    <w:p>
      <w:pPr>
        <w:ind w:firstLine="480"/>
        <w:spacing w:line="460" w:lineRule="exact"/>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（八）违约责任：</w:t>
      </w:r>
      <w:r/>
    </w:p>
    <w:p>
      <w:pPr>
        <w:ind w:firstLine="480"/>
        <w:spacing w:line="460" w:lineRule="exact"/>
        <w:tabs>
          <w:tab w:val="left" w:pos="0" w:leader="none"/>
          <w:tab w:val="left" w:pos="525" w:leader="none"/>
          <w:tab w:val="left" w:pos="945" w:leader="none"/>
          <w:tab w:val="left" w:pos="229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460" w:lineRule="exact"/>
        <w:tabs>
          <w:tab w:val="left" w:pos="0" w:leader="none"/>
          <w:tab w:val="left" w:pos="525" w:leader="none"/>
          <w:tab w:val="left" w:pos="945" w:leader="none"/>
          <w:tab w:val="left" w:pos="229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如乙方逾期交货且未经甲方同意延长交货时间，除不可抗力外，每逾期一日，乙方应按照逾期交货金额的万分之五的标准累计计算向甲方支付违约金。逾期超过20个工作日的，甲方有权依照法律程序解除合同，甲方如已支付费用的，乙方全部返还，且乙方应按照合同总价的30%向甲方支付违约金，如给甲方造成损失的，还应赔偿损失。</w:t>
      </w:r>
      <w:r/>
    </w:p>
    <w:p>
      <w:pPr>
        <w:ind w:firstLine="480"/>
        <w:spacing w:line="460" w:lineRule="exact"/>
        <w:tabs>
          <w:tab w:val="left" w:pos="105" w:leader="none"/>
          <w:tab w:val="left" w:pos="525" w:leader="none"/>
          <w:tab w:val="left" w:pos="945" w:leader="none"/>
          <w:tab w:val="left" w:pos="229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460" w:lineRule="exact"/>
        <w:tabs>
          <w:tab w:val="left" w:pos="105" w:leader="none"/>
          <w:tab w:val="left" w:pos="525" w:leader="none"/>
          <w:tab w:val="left" w:pos="945" w:leader="none"/>
          <w:tab w:val="left" w:pos="229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由于乙方提供货物质量、安装存在问题或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spacing w:line="460" w:lineRule="exact"/>
        <w:tabs>
          <w:tab w:val="left" w:pos="105" w:leader="none"/>
          <w:tab w:val="left" w:pos="525" w:leader="none"/>
          <w:tab w:val="left" w:pos="945" w:leader="none"/>
          <w:tab w:val="left" w:pos="229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5.质保期内，乙方未能按约履行质保义务，每发生一次，应当向甲方支付违约金，金额为质保实际发生金额的2倍。</w:t>
      </w:r>
      <w:r/>
    </w:p>
    <w:p>
      <w:pPr>
        <w:ind w:firstLine="480"/>
        <w:spacing w:line="460" w:lineRule="exact"/>
        <w:tabs>
          <w:tab w:val="left" w:pos="105" w:leader="none"/>
          <w:tab w:val="left" w:pos="525" w:leader="none"/>
          <w:tab w:val="left" w:pos="945" w:leader="none"/>
          <w:tab w:val="left" w:pos="229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6.乙方未能按约履行保密义务，应当向甲方支付合同总价1%的违约金并赔偿由此给甲方造成的全部损失。</w:t>
      </w:r>
      <w:r/>
    </w:p>
    <w:p>
      <w:pPr>
        <w:numPr>
          <w:ilvl w:val="0"/>
          <w:numId w:val="5"/>
        </w:numPr>
        <w:ind w:left="0" w:firstLine="566"/>
        <w:spacing w:line="460" w:lineRule="exact"/>
        <w:tabs>
          <w:tab w:val="left" w:pos="105" w:leader="none"/>
          <w:tab w:val="left" w:pos="525" w:leader="none"/>
          <w:tab w:val="left" w:pos="567" w:leader="none"/>
          <w:tab w:val="left" w:pos="945" w:leader="none"/>
          <w:tab w:val="left" w:pos="1418" w:leader="none"/>
          <w:tab w:val="left" w:pos="1560" w:leader="none"/>
        </w:tabs>
        <w:rPr>
          <w:rFonts w:ascii="宋体" w:hAnsi="宋体" w:cs="宋体"/>
          <w:bCs/>
          <w:color w:val="auto"/>
          <w:szCs w:val="24"/>
          <w:highlight w:val="none"/>
        </w:rPr>
      </w:pPr>
      <w:r>
        <w:rPr>
          <w:rFonts w:hint="eastAsia" w:ascii="宋体" w:hAnsi="宋体" w:cs="宋体"/>
          <w:bCs/>
          <w:color w:val="auto"/>
          <w:szCs w:val="24"/>
          <w:highlight w:val="none"/>
        </w:rPr>
        <w:t xml:space="preserve">不可抗力：</w:t>
      </w:r>
      <w:r/>
    </w:p>
    <w:p>
      <w:pPr>
        <w:ind w:firstLine="480"/>
        <w:spacing w:line="460" w:lineRule="exact"/>
        <w:tabs>
          <w:tab w:val="left" w:pos="105" w:leader="none"/>
          <w:tab w:val="left" w:pos="945" w:leader="none"/>
          <w:tab w:val="left" w:pos="132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460" w:lineRule="exact"/>
        <w:tabs>
          <w:tab w:val="left" w:pos="105" w:leader="none"/>
          <w:tab w:val="left" w:pos="525" w:leader="none"/>
          <w:tab w:val="left" w:pos="94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2.招标文件及合同中所述之“不可抗力”系指不可预见、不可避免、不可克服的事件。</w:t>
      </w:r>
      <w:r/>
    </w:p>
    <w:p>
      <w:pPr>
        <w:ind w:left="-2" w:firstLine="520"/>
        <w:spacing w:line="460" w:lineRule="exact"/>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（十）合同生效及其他：</w:t>
      </w:r>
      <w:r/>
    </w:p>
    <w:p>
      <w:pPr>
        <w:ind w:firstLine="480"/>
        <w:spacing w:line="460" w:lineRule="exact"/>
        <w:tabs>
          <w:tab w:val="left" w:pos="0" w:leader="none"/>
          <w:tab w:val="left" w:pos="525" w:leader="none"/>
          <w:tab w:val="left" w:pos="94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1.合同经甲乙双方代表签字并盖章后即生效。</w:t>
      </w:r>
      <w:r/>
    </w:p>
    <w:p>
      <w:pPr>
        <w:ind w:firstLine="480"/>
        <w:spacing w:line="460" w:lineRule="exact"/>
        <w:tabs>
          <w:tab w:val="left" w:pos="0"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2.合同签订后甲乙双方即直接产生权利与义务的关系，合同执行过程中出现的问题应按照合同约定、法律法规的规定办理。在合同履行过程中，双方如有争议，</w:t>
      </w:r>
      <w:r>
        <w:rPr>
          <w:rFonts w:hint="eastAsia" w:ascii="宋体" w:hAnsi="宋体" w:cs="宋体"/>
          <w:color w:val="auto"/>
          <w:szCs w:val="24"/>
          <w:highlight w:val="none"/>
          <w:lang w:eastAsia="zh-CN"/>
        </w:rPr>
        <w:t xml:space="preserve">由甲乙双方协商处理，若协商不成，</w:t>
      </w:r>
      <w:r>
        <w:rPr>
          <w:rFonts w:hint="eastAsia" w:ascii="宋体" w:hAnsi="宋体" w:cs="宋体"/>
          <w:bCs/>
          <w:color w:val="auto"/>
          <w:szCs w:val="24"/>
          <w:highlight w:val="none"/>
          <w:lang w:eastAsia="zh-CN"/>
        </w:rPr>
        <w:t xml:space="preserve">可选择以下</w:t>
      </w:r>
      <w:r>
        <w:rPr>
          <w:rFonts w:hint="eastAsia" w:ascii="宋体" w:hAnsi="宋体" w:cs="宋体"/>
          <w:bCs/>
          <w:color w:val="auto"/>
          <w:szCs w:val="24"/>
          <w:highlight w:val="none"/>
          <w:u w:val="single"/>
          <w:lang w:eastAsia="zh-CN"/>
        </w:rPr>
        <w:t xml:space="preserve"> 2 </w:t>
      </w:r>
      <w:r>
        <w:rPr>
          <w:rFonts w:hint="eastAsia" w:ascii="宋体" w:hAnsi="宋体" w:cs="宋体"/>
          <w:bCs/>
          <w:color w:val="auto"/>
          <w:szCs w:val="24"/>
          <w:highlight w:val="none"/>
          <w:lang w:eastAsia="zh-CN"/>
        </w:rPr>
        <w:t xml:space="preserve">方式处理：</w:t>
      </w:r>
      <w:r/>
    </w:p>
    <w:p>
      <w:pPr>
        <w:ind w:firstLine="480"/>
        <w:spacing w:line="460" w:lineRule="exact"/>
        <w:tabs>
          <w:tab w:val="left" w:pos="525" w:leader="none"/>
          <w:tab w:val="left" w:pos="945" w:leader="none"/>
        </w:tabs>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（1）</w:t>
      </w:r>
      <w:r>
        <w:rPr>
          <w:rFonts w:hint="eastAsia" w:ascii="宋体" w:hAnsi="宋体" w:cs="宋体"/>
          <w:color w:val="auto"/>
          <w:szCs w:val="24"/>
          <w:highlight w:val="none"/>
          <w:lang w:eastAsia="zh-CN"/>
        </w:rPr>
        <w:t xml:space="preserve">向无锡仲裁委员会申请仲裁。</w:t>
      </w:r>
      <w:r/>
    </w:p>
    <w:p>
      <w:pPr>
        <w:ind w:firstLine="480"/>
        <w:spacing w:line="460" w:lineRule="exact"/>
        <w:tabs>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（2）向甲方所在地法院提起诉讼。</w:t>
      </w:r>
      <w:r/>
    </w:p>
    <w:p>
      <w:pPr>
        <w:ind w:firstLine="480"/>
        <w:spacing w:line="460" w:lineRule="exact"/>
        <w:tabs>
          <w:tab w:val="left" w:pos="0" w:leader="none"/>
          <w:tab w:val="left" w:pos="525" w:leader="none"/>
          <w:tab w:val="left" w:pos="94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460" w:lineRule="exact"/>
        <w:tabs>
          <w:tab w:val="left" w:pos="0" w:leader="none"/>
          <w:tab w:val="left" w:pos="525" w:leader="none"/>
          <w:tab w:val="left" w:pos="945" w:leader="none"/>
        </w:tabs>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4.合同中未有约定的按照有关的法律法规以及国家行业标准或技术文件规定予以解决。</w:t>
      </w:r>
      <w:r/>
    </w:p>
    <w:p>
      <w:pPr>
        <w:ind w:firstLine="480"/>
        <w:spacing w:line="460" w:lineRule="exact"/>
        <w:tabs>
          <w:tab w:val="left" w:pos="0" w:leader="none"/>
          <w:tab w:val="left" w:pos="525" w:leader="none"/>
          <w:tab w:val="left" w:pos="945"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5.甲乙双方确认：对本合同条款及后果均已知悉，一致确认不存在欺诈、胁迫、乘人之危、重大误解、显失公平等任何可能导致合同无效或被撤销的情形。</w:t>
      </w:r>
      <w:r/>
    </w:p>
    <w:p>
      <w:pPr>
        <w:ind w:firstLine="480"/>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br w:type="page" w:clear="all"/>
      </w:r>
      <w:r/>
    </w:p>
    <w:p>
      <w:pPr>
        <w:pStyle w:val="991"/>
        <w:rPr>
          <w:color w:val="auto"/>
          <w:highlight w:val="none"/>
          <w:lang w:eastAsia="zh-CN"/>
        </w:rPr>
      </w:pPr>
      <w:r/>
      <w:bookmarkStart w:id="25" w:name="_Toc161316668"/>
      <w:r>
        <w:rPr>
          <w:rFonts w:hint="eastAsia"/>
          <w:color w:val="auto"/>
          <w:highlight w:val="none"/>
          <w:lang w:eastAsia="zh-CN"/>
        </w:rPr>
        <w:t xml:space="preserve">五、附件</w:t>
      </w:r>
      <w:bookmarkEnd w:id="25"/>
      <w:r/>
      <w:r/>
    </w:p>
    <w:p>
      <w:pPr>
        <w:pStyle w:val="992"/>
        <w:rPr>
          <w:color w:val="auto"/>
          <w:highlight w:val="none"/>
          <w:lang w:eastAsia="zh-CN"/>
        </w:rPr>
      </w:pPr>
      <w:r/>
      <w:bookmarkStart w:id="26" w:name="_Toc161316669"/>
      <w:r/>
      <w:bookmarkStart w:id="27" w:name="_Toc101981934"/>
      <w:r>
        <w:rPr>
          <w:rFonts w:hint="eastAsia"/>
          <w:color w:val="auto"/>
          <w:highlight w:val="none"/>
          <w:lang w:eastAsia="zh-CN"/>
        </w:rPr>
        <w:t xml:space="preserve">附件一：评分标准</w:t>
      </w:r>
      <w:bookmarkEnd w:id="26"/>
      <w:r/>
      <w:bookmarkEnd w:id="27"/>
      <w:r/>
      <w:r/>
    </w:p>
    <w:p>
      <w:pPr>
        <w:numPr>
          <w:ilvl w:val="0"/>
          <w:numId w:val="6"/>
        </w:num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评分项目及分值（总分100分）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（1）投标报价                            33分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（2）投标供应商评价                      </w:t>
      </w:r>
      <w:r>
        <w:rPr>
          <w:rFonts w:hint="eastAsia" w:ascii="宋体" w:hAnsi="宋体" w:cs="宋体"/>
          <w:b/>
          <w:color w:val="auto"/>
          <w:szCs w:val="24"/>
          <w:highlight w:val="none"/>
          <w:lang w:val="en-US" w:eastAsia="zh-CN"/>
        </w:rPr>
        <w:t xml:space="preserve">8</w:t>
      </w:r>
      <w:r>
        <w:rPr>
          <w:rFonts w:hint="eastAsia" w:ascii="宋体" w:hAnsi="宋体" w:cs="宋体"/>
          <w:b/>
          <w:color w:val="auto"/>
          <w:szCs w:val="24"/>
          <w:highlight w:val="none"/>
          <w:lang w:eastAsia="zh-CN"/>
        </w:rPr>
        <w:t xml:space="preserve">分  </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（3）设备配置性能                        </w:t>
      </w:r>
      <w:r>
        <w:rPr>
          <w:rFonts w:ascii="宋体" w:hAnsi="宋体" w:cs="宋体"/>
          <w:b/>
          <w:color w:val="auto"/>
          <w:szCs w:val="24"/>
          <w:highlight w:val="none"/>
          <w:lang w:eastAsia="zh-CN"/>
        </w:rPr>
        <w:t xml:space="preserve">1</w:t>
      </w:r>
      <w:r>
        <w:rPr>
          <w:rFonts w:hint="eastAsia" w:ascii="宋体" w:hAnsi="宋体" w:cs="宋体"/>
          <w:b/>
          <w:color w:val="auto"/>
          <w:szCs w:val="24"/>
          <w:highlight w:val="none"/>
          <w:lang w:val="en-US" w:eastAsia="zh-CN"/>
        </w:rPr>
        <w:t xml:space="preserve">7</w:t>
      </w:r>
      <w:r>
        <w:rPr>
          <w:rFonts w:hint="eastAsia" w:ascii="宋体" w:hAnsi="宋体" w:cs="宋体"/>
          <w:b/>
          <w:color w:val="auto"/>
          <w:szCs w:val="24"/>
          <w:highlight w:val="none"/>
          <w:lang w:eastAsia="zh-CN"/>
        </w:rPr>
        <w:t xml:space="preserve">分   </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（4）售后服务                            40分 </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（5）国家政策导向                        2分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（二）各项目评分标准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  （1）报价（33分）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各投标供应商的有效投标报价（报价超预算，按无效处理），满足采购文件要求的最低投标报价为评标基准价，其价格为33分。其他投标供应商的价格分统一按照下列公式计算，最高得分为33分。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投标报价得分=33×（评标基准价／投标报价）</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价格扣除：对小型和微型企业产品的价格给予10%的扣除，用扣除后的价格参与评审，残疾人福利性单位、监狱企业视同小型、微型企业，应提供以下有效证明文件（如未按要求填写和提供有效证明或相关内容表述不清的，不得享受价格扣除）。</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①所投产品制造商如为中小企业，应当按照《政府采购促进中小企业发展暂行办法》（财库〔2011〕181号）的规定提供《中小企业声明函》（格式见附件）。（中小企业划型标准详见《关于印发中小企业划型标准规定的通知》工信部联企业〔2011〕300号）。</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②所投产品制造商如为监狱和戒毒企业，应当按照《关于政府采购支持监狱企业发展有关问题的通知》（财库〔2014〕68号）的规定提供由省级以上监狱管理局、戒毒管理局（含新疆生产建设兵团）出具的属于监狱企业的证明文件复印件。</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③所投产品制造商如为残疾人福利性单位，应当按照《财政部、民政部、中国残疾人联合会关于促进残疾人就业政府采购政策的通知》（财库〔2017〕141号）的规定提供《残疾人福利性单位声明函》。</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注：同一所投产品制造商，上述三项价格扣除优惠不得重复享受。</w:t>
      </w:r>
      <w:r/>
    </w:p>
    <w:p>
      <w:pPr>
        <w:numPr>
          <w:ilvl w:val="0"/>
          <w:numId w:val="7"/>
        </w:num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投标供应商评价（</w:t>
      </w:r>
      <w:r>
        <w:rPr>
          <w:rFonts w:hint="eastAsia" w:ascii="宋体" w:hAnsi="宋体" w:cs="宋体"/>
          <w:b/>
          <w:color w:val="auto"/>
          <w:szCs w:val="24"/>
          <w:highlight w:val="none"/>
          <w:lang w:val="en-US" w:eastAsia="zh-CN"/>
        </w:rPr>
        <w:t xml:space="preserve">8</w:t>
      </w:r>
      <w:r>
        <w:rPr>
          <w:rFonts w:hint="eastAsia" w:ascii="宋体" w:hAnsi="宋体" w:cs="宋体"/>
          <w:b/>
          <w:color w:val="auto"/>
          <w:szCs w:val="24"/>
          <w:highlight w:val="none"/>
          <w:lang w:eastAsia="zh-CN"/>
        </w:rPr>
        <w:t xml:space="preserve">分）</w:t>
      </w:r>
      <w:r/>
    </w:p>
    <w:p>
      <w:pPr>
        <w:ind w:firstLine="241"/>
        <w:rPr>
          <w:rFonts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1）免费质保（4分）：</w:t>
      </w:r>
      <w:r>
        <w:rPr>
          <w:rFonts w:hint="eastAsia" w:ascii="宋体" w:hAnsi="宋体" w:cs="宋体"/>
          <w:bCs/>
          <w:color w:val="auto"/>
          <w:szCs w:val="24"/>
          <w:highlight w:val="none"/>
          <w:lang w:eastAsia="zh-CN"/>
        </w:rPr>
        <w:t xml:space="preserve">投标供应商所提供的免费质保期在满足招标文件要求的基础上，每延长1年加2分，本项最高得4分。</w:t>
      </w:r>
      <w:r/>
    </w:p>
    <w:p>
      <w:pPr>
        <w:ind w:firstLine="241"/>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（注：提供承诺书并加盖公章，提供不全或不提供的不得分）</w:t>
      </w:r>
      <w:r/>
    </w:p>
    <w:p>
      <w:pPr>
        <w:ind w:firstLine="241"/>
        <w:rPr>
          <w:rFonts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2）产品用户评价（</w:t>
      </w:r>
      <w:r>
        <w:rPr>
          <w:rFonts w:hint="eastAsia" w:ascii="宋体" w:hAnsi="宋体" w:cs="宋体"/>
          <w:b/>
          <w:color w:val="auto"/>
          <w:szCs w:val="24"/>
          <w:highlight w:val="none"/>
          <w:lang w:val="en-US" w:eastAsia="zh-CN"/>
        </w:rPr>
        <w:t xml:space="preserve">4</w:t>
      </w:r>
      <w:r>
        <w:rPr>
          <w:rFonts w:hint="eastAsia" w:ascii="宋体" w:hAnsi="宋体" w:cs="宋体"/>
          <w:b/>
          <w:color w:val="auto"/>
          <w:szCs w:val="24"/>
          <w:highlight w:val="none"/>
          <w:lang w:eastAsia="zh-CN"/>
        </w:rPr>
        <w:t xml:space="preserve">分）：</w:t>
      </w:r>
      <w:r/>
    </w:p>
    <w:p>
      <w:pPr>
        <w:ind w:left="240" w:firstLine="0"/>
        <w:rPr>
          <w:rFonts w:ascii="宋体" w:hAnsi="宋体" w:cs="宋体"/>
          <w:b/>
          <w:color w:val="auto"/>
          <w:szCs w:val="24"/>
          <w:highlight w:val="none"/>
          <w:lang w:eastAsia="zh-CN"/>
        </w:rPr>
      </w:pPr>
      <w:r>
        <w:rPr>
          <w:rFonts w:hint="eastAsia" w:ascii="宋体" w:hAnsi="宋体" w:cs="宋体"/>
          <w:bCs/>
          <w:color w:val="auto"/>
          <w:szCs w:val="24"/>
          <w:highlight w:val="none"/>
          <w:lang w:eastAsia="zh-CN"/>
        </w:rPr>
        <w:t xml:space="preserve">投标提供所投产品用户评价意见为优、良的用户证明材料，每提供一份得</w:t>
      </w:r>
      <w:r>
        <w:rPr>
          <w:rFonts w:hint="eastAsia" w:ascii="宋体" w:hAnsi="宋体" w:cs="宋体"/>
          <w:bCs/>
          <w:color w:val="auto"/>
          <w:szCs w:val="24"/>
          <w:highlight w:val="none"/>
          <w:lang w:val="en-US" w:eastAsia="zh-CN"/>
        </w:rPr>
        <w:t xml:space="preserve">2</w:t>
      </w:r>
      <w:r>
        <w:rPr>
          <w:rFonts w:hint="eastAsia" w:ascii="宋体" w:hAnsi="宋体" w:cs="宋体"/>
          <w:bCs/>
          <w:color w:val="auto"/>
          <w:szCs w:val="24"/>
          <w:highlight w:val="none"/>
          <w:lang w:eastAsia="zh-CN"/>
        </w:rPr>
        <w:t xml:space="preserve">分，最多</w:t>
      </w:r>
      <w:r>
        <w:rPr>
          <w:rFonts w:hint="eastAsia" w:ascii="宋体" w:hAnsi="宋体" w:cs="宋体"/>
          <w:bCs/>
          <w:color w:val="auto"/>
          <w:szCs w:val="24"/>
          <w:highlight w:val="none"/>
          <w:lang w:val="en-US" w:eastAsia="zh-CN"/>
        </w:rPr>
        <w:t xml:space="preserve">4</w:t>
      </w:r>
      <w:r>
        <w:rPr>
          <w:rFonts w:hint="eastAsia" w:ascii="宋体" w:hAnsi="宋体" w:cs="宋体"/>
          <w:bCs/>
          <w:color w:val="auto"/>
          <w:szCs w:val="24"/>
          <w:highlight w:val="none"/>
          <w:lang w:eastAsia="zh-CN"/>
        </w:rPr>
        <w:t xml:space="preserve">分。</w:t>
      </w:r>
      <w:r>
        <w:rPr>
          <w:rFonts w:hint="eastAsia" w:ascii="宋体" w:hAnsi="宋体" w:cs="宋体"/>
          <w:b/>
          <w:color w:val="auto"/>
          <w:szCs w:val="24"/>
          <w:highlight w:val="none"/>
          <w:lang w:eastAsia="zh-CN"/>
        </w:rPr>
        <w:t xml:space="preserve">（注：提供相关证明材料复印件并加盖公章，提供不全或不提供的不得分）。</w:t>
      </w:r>
      <w:r/>
    </w:p>
    <w:p>
      <w:pPr>
        <w:ind w:firstLine="482"/>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（3）设备配置性能（</w:t>
      </w:r>
      <w:r>
        <w:rPr>
          <w:rFonts w:ascii="宋体" w:hAnsi="宋体" w:cs="宋体"/>
          <w:b/>
          <w:color w:val="auto"/>
          <w:szCs w:val="24"/>
          <w:highlight w:val="none"/>
          <w:lang w:eastAsia="zh-CN"/>
        </w:rPr>
        <w:t xml:space="preserve">1</w:t>
      </w:r>
      <w:r>
        <w:rPr>
          <w:rFonts w:hint="eastAsia" w:ascii="宋体" w:hAnsi="宋体" w:cs="宋体"/>
          <w:b/>
          <w:color w:val="auto"/>
          <w:szCs w:val="24"/>
          <w:highlight w:val="none"/>
          <w:lang w:val="en-US" w:eastAsia="zh-CN"/>
        </w:rPr>
        <w:t xml:space="preserve">7</w:t>
      </w:r>
      <w:r>
        <w:rPr>
          <w:rFonts w:hint="eastAsia" w:ascii="宋体" w:hAnsi="宋体" w:cs="宋体"/>
          <w:b/>
          <w:color w:val="auto"/>
          <w:szCs w:val="24"/>
          <w:highlight w:val="none"/>
          <w:lang w:eastAsia="zh-CN"/>
        </w:rPr>
        <w:t xml:space="preserve">分）</w:t>
      </w:r>
      <w:r/>
    </w:p>
    <w:p>
      <w:pPr>
        <w:ind w:firstLine="241"/>
        <w:rPr>
          <w:rFonts w:ascii="宋体" w:hAnsi="宋体"/>
          <w:bCs/>
          <w:color w:val="auto"/>
          <w:szCs w:val="24"/>
          <w:highlight w:val="none"/>
          <w:lang w:eastAsia="zh-CN"/>
        </w:rPr>
      </w:pPr>
      <w:r>
        <w:rPr>
          <w:rFonts w:hint="eastAsia" w:ascii="宋体" w:hAnsi="宋体" w:cs="宋体"/>
          <w:b/>
          <w:color w:val="auto"/>
          <w:szCs w:val="24"/>
          <w:highlight w:val="none"/>
          <w:lang w:eastAsia="zh-CN"/>
        </w:rPr>
        <w:t xml:space="preserve">1） </w:t>
      </w:r>
      <w:r>
        <w:rPr>
          <w:rFonts w:hint="eastAsia" w:ascii="宋体" w:hAnsi="宋体"/>
          <w:b/>
          <w:color w:val="auto"/>
          <w:szCs w:val="24"/>
          <w:highlight w:val="none"/>
          <w:lang w:eastAsia="zh-CN"/>
        </w:rPr>
        <w:t xml:space="preserve">技术参数符合性</w:t>
      </w:r>
      <w:r>
        <w:rPr>
          <w:rFonts w:hint="eastAsia" w:ascii="宋体" w:hAnsi="宋体" w:cs="宋体"/>
          <w:b/>
          <w:color w:val="auto"/>
          <w:szCs w:val="24"/>
          <w:highlight w:val="none"/>
          <w:lang w:eastAsia="zh-CN"/>
        </w:rPr>
        <w:t xml:space="preserve">（</w:t>
      </w:r>
      <w:r>
        <w:rPr>
          <w:rFonts w:ascii="宋体" w:hAnsi="宋体" w:cs="宋体"/>
          <w:b/>
          <w:color w:val="auto"/>
          <w:szCs w:val="24"/>
          <w:highlight w:val="none"/>
          <w:lang w:eastAsia="zh-CN"/>
        </w:rPr>
        <w:t xml:space="preserve">1</w:t>
      </w:r>
      <w:r>
        <w:rPr>
          <w:rFonts w:hint="eastAsia" w:ascii="宋体" w:hAnsi="宋体" w:cs="宋体"/>
          <w:b/>
          <w:color w:val="auto"/>
          <w:szCs w:val="24"/>
          <w:highlight w:val="none"/>
          <w:lang w:val="en-US" w:eastAsia="zh-CN"/>
        </w:rPr>
        <w:t xml:space="preserve">7</w:t>
      </w:r>
      <w:r>
        <w:rPr>
          <w:rFonts w:hint="eastAsia" w:ascii="宋体" w:hAnsi="宋体" w:cs="宋体"/>
          <w:b/>
          <w:color w:val="auto"/>
          <w:szCs w:val="24"/>
          <w:highlight w:val="none"/>
          <w:lang w:eastAsia="zh-CN"/>
        </w:rPr>
        <w:t xml:space="preserve">分）</w:t>
      </w:r>
      <w:r>
        <w:rPr>
          <w:rFonts w:hint="eastAsia" w:ascii="宋体" w:hAnsi="宋体"/>
          <w:bCs/>
          <w:color w:val="auto"/>
          <w:szCs w:val="24"/>
          <w:highlight w:val="none"/>
          <w:lang w:eastAsia="zh-CN"/>
        </w:rPr>
        <w:t xml:space="preserve">：所投货物的技术参数为★号指标的，若出现负偏离即无效标书。所投货物的技术参数为</w:t>
      </w:r>
      <w:r>
        <w:rPr>
          <w:rFonts w:hint="eastAsia"/>
          <w:color w:val="auto"/>
          <w:highlight w:val="none"/>
          <w:lang w:eastAsia="zh-CN"/>
        </w:rPr>
        <w:t xml:space="preserve">▲</w:t>
      </w:r>
      <w:r>
        <w:rPr>
          <w:rFonts w:hint="eastAsia" w:ascii="宋体" w:hAnsi="宋体"/>
          <w:bCs/>
          <w:color w:val="auto"/>
          <w:szCs w:val="24"/>
          <w:highlight w:val="none"/>
          <w:lang w:eastAsia="zh-CN"/>
        </w:rPr>
        <w:t xml:space="preserve">号指标的，为重要技术参数单项权重为2分，所投货物的技术参数为未标符号指标的，为普通技术参数单项权重为1分，投标人必须如实地在《投标偏离表》中逐条标明满足与否，并对其真实性负责。技术条款必须在投标文件中提供技术支持资料包括但不仅限于（厂家证明、白皮书、彩页、手册、检测报告、说明书、设备照片等），否则视为负偏离，未按要求提供技术支持资料或提供的技术支持资料不能佐证偏离表内容的，视为负偏离。</w:t>
      </w:r>
      <w:r/>
    </w:p>
    <w:tbl>
      <w:tblPr>
        <w:tblStyle w:val="996"/>
        <w:tblW w:w="11032" w:type="dxa"/>
        <w:jc w:val="center"/>
        <w:tblLayout w:type="fixed"/>
        <w:tblCellMar>
          <w:left w:w="64" w:type="dxa"/>
          <w:top w:w="32" w:type="dxa"/>
          <w:right w:w="64" w:type="dxa"/>
          <w:bottom w:w="32" w:type="dxa"/>
        </w:tblCellMar>
        <w:tblLook w:val="04A0" w:firstRow="1" w:lastRow="0" w:firstColumn="1" w:lastColumn="0" w:noHBand="0" w:noVBand="1"/>
      </w:tblPr>
      <w:tblGrid>
        <w:gridCol w:w="890"/>
        <w:gridCol w:w="892"/>
        <w:gridCol w:w="5667"/>
        <w:gridCol w:w="1467"/>
        <w:gridCol w:w="1063"/>
        <w:gridCol w:w="1053"/>
      </w:tblGrid>
      <w:tr>
        <w:trPr>
          <w:jc w:val="center"/>
          <w:tblHeader/>
        </w:trPr>
        <w:tc>
          <w:tcPr>
            <w:gridSpan w:val="6"/>
            <w:tcBorders>
              <w:top w:val="single" w:color="auto" w:sz="4" w:space="0"/>
              <w:left w:val="single" w:color="auto" w:sz="4" w:space="0"/>
              <w:bottom w:val="single" w:color="auto" w:sz="4" w:space="0"/>
              <w:right w:val="single" w:color="auto" w:sz="4" w:space="0"/>
            </w:tcBorders>
            <w:tcW w:w="11032"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技术参数评分表</w:t>
            </w:r>
            <w:r/>
          </w:p>
        </w:tc>
      </w:tr>
      <w:tr>
        <w:trPr>
          <w:jc w:val="center"/>
          <w:tblHead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序号</w:t>
            </w:r>
            <w:r/>
          </w:p>
        </w:tc>
        <w:tc>
          <w:tcPr>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名称</w:t>
            </w:r>
            <w:r/>
          </w:p>
        </w:tc>
        <w:tc>
          <w:tcPr>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参数</w:t>
            </w:r>
            <w:r/>
          </w:p>
        </w:tc>
        <w:tc>
          <w:tcPr>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评分标准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分值下限</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分值上限</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p>
        </w:tc>
        <w:tc>
          <w:tcPr>
            <w:tcBorders>
              <w:top w:val="single" w:color="auto" w:sz="4" w:space="0"/>
              <w:left w:val="none" w:color="000000" w:sz="4" w:space="0"/>
              <w:right w:val="single" w:color="auto" w:sz="4" w:space="0"/>
            </w:tcBorders>
            <w:tcW w:w="892" w:type="dxa"/>
            <w:vAlign w:val="center"/>
            <w:vMerge w:val="restart"/>
            <w:textDirection w:val="lrTb"/>
            <w:noWrap w:val="false"/>
          </w:tcPr>
          <w:p>
            <w:pPr>
              <w:pStyle w:val="1000"/>
              <w:ind w:left="0" w:firstLine="0"/>
              <w:jc w:val="center"/>
              <w:rPr>
                <w:rFonts w:ascii="宋体" w:hAnsi="宋体"/>
                <w:b/>
                <w:bCs/>
                <w:color w:val="auto"/>
                <w:sz w:val="28"/>
                <w:szCs w:val="28"/>
                <w:highlight w:val="none"/>
              </w:rPr>
            </w:pPr>
            <w:r>
              <w:rPr>
                <w:rFonts w:ascii="宋体" w:hAnsi="宋体"/>
                <w:b/>
                <w:bCs/>
                <w:color w:val="auto"/>
                <w:sz w:val="28"/>
                <w:szCs w:val="28"/>
                <w:highlight w:val="none"/>
              </w:rPr>
            </w:r>
            <w:r/>
          </w:p>
          <w:p>
            <w:pPr>
              <w:pStyle w:val="1000"/>
              <w:ind w:left="0" w:firstLine="0"/>
              <w:jc w:val="center"/>
              <w:rPr>
                <w:rFonts w:ascii="宋体" w:hAnsi="宋体"/>
                <w:b/>
                <w:bCs/>
                <w:color w:val="auto"/>
                <w:sz w:val="28"/>
                <w:szCs w:val="28"/>
                <w:highlight w:val="none"/>
              </w:rPr>
            </w:pPr>
            <w:r>
              <w:rPr>
                <w:rFonts w:ascii="宋体" w:hAnsi="宋体"/>
                <w:b/>
                <w:bCs/>
                <w:color w:val="auto"/>
                <w:sz w:val="28"/>
                <w:szCs w:val="28"/>
                <w:highlight w:val="none"/>
              </w:rPr>
            </w:r>
            <w:r/>
          </w:p>
          <w:p>
            <w:pPr>
              <w:pStyle w:val="1000"/>
              <w:ind w:left="0" w:firstLine="0"/>
              <w:jc w:val="center"/>
              <w:rPr>
                <w:rFonts w:ascii="宋体" w:hAnsi="宋体"/>
                <w:b/>
                <w:bCs/>
                <w:color w:val="auto"/>
                <w:sz w:val="28"/>
                <w:szCs w:val="28"/>
                <w:highlight w:val="none"/>
              </w:rPr>
            </w:pPr>
            <w:r>
              <w:rPr>
                <w:rFonts w:ascii="宋体" w:hAnsi="宋体"/>
                <w:b/>
                <w:bCs/>
                <w:color w:val="auto"/>
                <w:sz w:val="28"/>
                <w:szCs w:val="28"/>
                <w:highlight w:val="none"/>
              </w:rPr>
            </w:r>
            <w:r/>
          </w:p>
          <w:p>
            <w:pPr>
              <w:pStyle w:val="1000"/>
              <w:ind w:left="0" w:firstLine="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电</w:t>
            </w:r>
            <w:r/>
          </w:p>
          <w:p>
            <w:pPr>
              <w:pStyle w:val="1000"/>
              <w:ind w:left="0" w:firstLine="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离</w:t>
            </w:r>
            <w:r/>
          </w:p>
          <w:p>
            <w:pPr>
              <w:pStyle w:val="1000"/>
              <w:ind w:left="0" w:firstLine="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室</w:t>
            </w:r>
            <w:r/>
          </w:p>
          <w:p>
            <w:pPr>
              <w:pStyle w:val="1000"/>
              <w:ind w:left="0" w:firstLine="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巡</w:t>
            </w:r>
            <w:r/>
          </w:p>
          <w:p>
            <w:pPr>
              <w:pStyle w:val="1000"/>
              <w:ind w:left="0" w:firstLine="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检</w:t>
            </w:r>
            <w:r/>
          </w:p>
          <w:p>
            <w:pPr>
              <w:pStyle w:val="1000"/>
              <w:ind w:left="0" w:firstLine="0"/>
              <w:jc w:val="center"/>
              <w:rPr>
                <w:rFonts w:ascii="宋体" w:hAnsi="宋体" w:cs="宋体"/>
                <w:color w:val="auto"/>
                <w:sz w:val="22"/>
                <w:szCs w:val="22"/>
                <w:highlight w:val="none"/>
                <w:lang w:eastAsia="zh-CN"/>
              </w:rPr>
            </w:pPr>
            <w:r>
              <w:rPr>
                <w:rFonts w:hint="eastAsia" w:ascii="宋体" w:hAnsi="宋体"/>
                <w:b/>
                <w:bCs/>
                <w:color w:val="auto"/>
                <w:sz w:val="28"/>
                <w:szCs w:val="28"/>
                <w:highlight w:val="none"/>
              </w:rPr>
              <w:t xml:space="preserve">仪</w:t>
            </w:r>
            <w:r/>
          </w:p>
        </w:tc>
        <w:tc>
          <w:tcPr>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pStyle w:val="1000"/>
              <w:ind w:left="0" w:firstLine="0"/>
              <w:rPr>
                <w:rFonts w:ascii="宋体" w:hAnsi="宋体"/>
                <w:color w:val="auto"/>
                <w:sz w:val="20"/>
                <w:szCs w:val="16"/>
                <w:highlight w:val="none"/>
                <w:lang w:eastAsia="zh-CN"/>
              </w:rPr>
            </w:pPr>
            <w:r>
              <w:rPr>
                <w:rFonts w:hint="eastAsia" w:ascii="宋体" w:hAnsi="宋体"/>
                <w:color w:val="auto"/>
                <w:sz w:val="20"/>
                <w:szCs w:val="16"/>
                <w:highlight w:val="none"/>
                <w:lang w:eastAsia="zh-CN"/>
              </w:rPr>
              <w:t xml:space="preserve">功能要求</w:t>
            </w:r>
            <w:r/>
          </w:p>
          <w:p>
            <w:pPr>
              <w:pStyle w:val="1000"/>
              <w:ind w:left="0" w:firstLine="0"/>
              <w:rPr>
                <w:rFonts w:ascii="宋体" w:hAnsi="宋体"/>
                <w:color w:val="auto"/>
                <w:sz w:val="20"/>
                <w:szCs w:val="16"/>
                <w:highlight w:val="none"/>
                <w:lang w:eastAsia="zh-CN"/>
              </w:rPr>
            </w:pPr>
            <w:r>
              <w:rPr>
                <w:rFonts w:hint="eastAsia" w:ascii="宋体" w:hAnsi="宋体"/>
                <w:color w:val="auto"/>
                <w:sz w:val="20"/>
                <w:szCs w:val="16"/>
                <w:highlight w:val="none"/>
                <w:lang w:eastAsia="zh-CN"/>
              </w:rPr>
              <w:t xml:space="preserve">需具备累计模式：在开启仪器后能连续工作30s，显示mR/h或R/h累计数值。</w:t>
            </w:r>
            <w:r/>
          </w:p>
          <w:p>
            <w:pPr>
              <w:pStyle w:val="1000"/>
              <w:ind w:left="0" w:firstLine="0"/>
              <w:rPr>
                <w:rFonts w:ascii="宋体" w:hAnsi="宋体"/>
                <w:color w:val="auto"/>
                <w:sz w:val="20"/>
                <w:szCs w:val="16"/>
                <w:highlight w:val="none"/>
                <w:lang w:eastAsia="zh-CN"/>
              </w:rPr>
            </w:pPr>
            <w:r>
              <w:rPr>
                <w:rFonts w:hint="eastAsia" w:ascii="宋体" w:hAnsi="宋体"/>
                <w:color w:val="auto"/>
                <w:sz w:val="20"/>
                <w:szCs w:val="16"/>
                <w:highlight w:val="none"/>
                <w:lang w:eastAsia="zh-CN"/>
              </w:rPr>
              <w:t xml:space="preserve">需具备保持模式：能保持并显示峰值，以及继续读取和显示当前的辐射值。</w:t>
            </w:r>
            <w:r/>
          </w:p>
          <w:p>
            <w:pPr>
              <w:pStyle w:val="1000"/>
              <w:ind w:left="0" w:firstLine="0"/>
              <w:rPr>
                <w:rFonts w:ascii="宋体" w:hAnsi="宋体"/>
                <w:color w:val="auto"/>
                <w:sz w:val="20"/>
                <w:szCs w:val="16"/>
                <w:highlight w:val="none"/>
                <w:lang w:eastAsia="zh-CN"/>
              </w:rPr>
            </w:pPr>
            <w:r>
              <w:rPr>
                <w:rFonts w:hint="eastAsia" w:ascii="宋体" w:hAnsi="宋体"/>
                <w:color w:val="auto"/>
                <w:sz w:val="20"/>
                <w:szCs w:val="16"/>
                <w:highlight w:val="none"/>
                <w:lang w:eastAsia="zh-CN"/>
              </w:rPr>
              <w:t xml:space="preserve">需具备模拟、数字式液晶显示。模拟显示时能显示100个单元条形图，并各标有与仪器量程相应的值；数字显示时可根据仪器的操作量程，在2</w:t>
            </w:r>
            <w:r>
              <w:rPr>
                <w:rFonts w:hint="eastAsia" w:ascii="宋体" w:hAnsi="宋体"/>
                <w:color w:val="auto"/>
                <w:sz w:val="20"/>
                <w:szCs w:val="16"/>
                <w:highlight w:val="none"/>
                <w:vertAlign w:val="superscript"/>
                <w:lang w:eastAsia="zh-CN"/>
              </w:rPr>
              <w:t xml:space="preserve">1/2</w:t>
            </w:r>
            <w:r>
              <w:rPr>
                <w:rFonts w:hint="eastAsia" w:ascii="宋体" w:hAnsi="宋体"/>
                <w:color w:val="auto"/>
                <w:sz w:val="20"/>
                <w:szCs w:val="16"/>
                <w:highlight w:val="none"/>
                <w:lang w:eastAsia="zh-CN"/>
              </w:rPr>
              <w:t xml:space="preserve">位显示后跟一个有效0位。</w:t>
            </w:r>
            <w:r/>
          </w:p>
          <w:p>
            <w:pPr>
              <w:pStyle w:val="1000"/>
              <w:ind w:left="0" w:firstLine="0"/>
              <w:rPr>
                <w:rFonts w:ascii="宋体" w:hAnsi="宋体"/>
                <w:color w:val="auto"/>
                <w:sz w:val="20"/>
                <w:szCs w:val="16"/>
                <w:highlight w:val="none"/>
                <w:lang w:eastAsia="zh-CN"/>
              </w:rPr>
            </w:pPr>
            <w:r>
              <w:rPr>
                <w:rFonts w:hint="eastAsia" w:ascii="宋体" w:hAnsi="宋体"/>
                <w:color w:val="auto"/>
                <w:sz w:val="20"/>
                <w:szCs w:val="16"/>
                <w:highlight w:val="none"/>
                <w:lang w:eastAsia="zh-CN"/>
              </w:rPr>
              <w:t xml:space="preserve">需具备低电压指示和保持模式指示功能。</w:t>
            </w:r>
            <w:r/>
          </w:p>
          <w:p>
            <w:pPr>
              <w:pStyle w:val="1000"/>
              <w:ind w:left="0" w:firstLine="0"/>
              <w:rPr>
                <w:rFonts w:ascii="宋体" w:hAnsi="宋体"/>
                <w:color w:val="auto"/>
                <w:sz w:val="20"/>
                <w:szCs w:val="16"/>
                <w:highlight w:val="none"/>
                <w:lang w:eastAsia="zh-CN"/>
              </w:rPr>
            </w:pPr>
            <w:r>
              <w:rPr>
                <w:rFonts w:hint="eastAsia" w:ascii="宋体" w:hAnsi="宋体"/>
                <w:color w:val="auto"/>
                <w:sz w:val="20"/>
                <w:szCs w:val="16"/>
                <w:highlight w:val="none"/>
                <w:lang w:eastAsia="zh-CN"/>
              </w:rPr>
              <w:t xml:space="preserve">预热时间：当仪器与环境温度平衡时，初始预热时间少于2 min</w:t>
            </w:r>
            <w:r/>
          </w:p>
          <w:p>
            <w:pPr>
              <w:pStyle w:val="1000"/>
              <w:ind w:left="0" w:firstLine="0"/>
              <w:rPr>
                <w:rFonts w:ascii="宋体" w:hAnsi="宋体" w:cs="宋体"/>
                <w:color w:val="auto"/>
                <w:sz w:val="18"/>
                <w:szCs w:val="18"/>
                <w:highlight w:val="none"/>
                <w:lang w:eastAsia="zh-CN"/>
              </w:rPr>
            </w:pPr>
            <w:r>
              <w:rPr>
                <w:rFonts w:hint="eastAsia" w:ascii="宋体" w:hAnsi="宋体"/>
                <w:color w:val="auto"/>
                <w:sz w:val="20"/>
                <w:szCs w:val="16"/>
                <w:highlight w:val="none"/>
                <w:lang w:eastAsia="zh-CN"/>
              </w:rPr>
              <w:t xml:space="preserve">便携并方便挂在脖子上或者衣服上。</w:t>
            </w:r>
            <w:r/>
          </w:p>
        </w:tc>
        <w:tc>
          <w:tcPr>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符合得1分，</w:t>
            </w:r>
            <w:r/>
          </w:p>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p>
        </w:tc>
        <w:tc>
          <w:tcPr>
            <w:tcBorders>
              <w:left w:val="none" w:color="000000" w:sz="4" w:space="0"/>
              <w:bottom w:val="single" w:color="auto" w:sz="4" w:space="0"/>
              <w:right w:val="single" w:color="auto" w:sz="4" w:space="0"/>
            </w:tcBorders>
            <w:tcW w:w="892" w:type="dxa"/>
            <w:vAlign w:val="center"/>
            <w:vMerge w:val="continue"/>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rPr>
                <w:rFonts w:ascii="宋体" w:hAnsi="宋体"/>
                <w:color w:val="auto"/>
                <w:sz w:val="20"/>
                <w:szCs w:val="16"/>
                <w:highlight w:val="none"/>
                <w:lang w:eastAsia="zh-CN"/>
              </w:rPr>
            </w:pPr>
            <w:r>
              <w:rPr>
                <w:rFonts w:hint="eastAsia" w:ascii="宋体" w:hAnsi="宋体"/>
                <w:color w:val="auto"/>
                <w:sz w:val="20"/>
                <w:szCs w:val="16"/>
                <w:highlight w:val="none"/>
                <w:lang w:eastAsia="zh-CN"/>
              </w:rPr>
              <w:t xml:space="preserve">技术要求</w:t>
            </w:r>
            <w:r/>
          </w:p>
          <w:p>
            <w:pPr>
              <w:ind w:firstLine="0"/>
              <w:rPr>
                <w:rFonts w:ascii="宋体" w:hAnsi="宋体"/>
                <w:color w:val="auto"/>
                <w:sz w:val="20"/>
                <w:szCs w:val="16"/>
                <w:highlight w:val="none"/>
                <w:lang w:eastAsia="zh-CN"/>
              </w:rPr>
            </w:pPr>
            <w:r>
              <w:rPr>
                <w:rFonts w:hint="eastAsia" w:ascii="宋体" w:hAnsi="宋体"/>
                <w:color w:val="auto"/>
                <w:sz w:val="20"/>
                <w:szCs w:val="16"/>
                <w:highlight w:val="none"/>
                <w:lang w:eastAsia="zh-CN"/>
              </w:rPr>
              <w:t xml:space="preserve">具备自动切换量程功能。</w:t>
            </w:r>
            <w:r/>
          </w:p>
          <w:p>
            <w:pPr>
              <w:ind w:firstLine="0"/>
              <w:rPr>
                <w:rFonts w:ascii="宋体" w:hAnsi="宋体"/>
                <w:color w:val="auto"/>
                <w:sz w:val="20"/>
                <w:szCs w:val="16"/>
                <w:highlight w:val="none"/>
              </w:rPr>
            </w:pPr>
            <w:r>
              <w:rPr>
                <w:rFonts w:hint="eastAsia" w:ascii="宋体" w:hAnsi="宋体"/>
                <w:color w:val="auto"/>
                <w:sz w:val="20"/>
                <w:szCs w:val="16"/>
                <w:highlight w:val="none"/>
              </w:rPr>
              <w:t xml:space="preserve">具备分段式量程：</w:t>
            </w:r>
            <w:r/>
          </w:p>
          <w:p>
            <w:pPr>
              <w:ind w:firstLine="0"/>
              <w:rPr>
                <w:rFonts w:ascii="宋体" w:hAnsi="宋体"/>
                <w:color w:val="auto"/>
                <w:sz w:val="20"/>
                <w:szCs w:val="16"/>
                <w:highlight w:val="none"/>
              </w:rPr>
            </w:pP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1</w:t>
            </w: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0～500μR/h or 0～5μSv/h</w:t>
            </w:r>
            <w:r/>
          </w:p>
          <w:p>
            <w:pPr>
              <w:ind w:firstLine="0"/>
              <w:rPr>
                <w:rFonts w:ascii="宋体" w:hAnsi="宋体"/>
                <w:color w:val="auto"/>
                <w:sz w:val="20"/>
                <w:szCs w:val="16"/>
                <w:highlight w:val="none"/>
              </w:rPr>
            </w:pP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2</w:t>
            </w: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0～50 mR/h or 0～50μSv/h</w:t>
            </w:r>
            <w:r/>
          </w:p>
          <w:p>
            <w:pPr>
              <w:ind w:firstLine="0"/>
              <w:rPr>
                <w:rFonts w:ascii="宋体" w:hAnsi="宋体"/>
                <w:color w:val="auto"/>
                <w:sz w:val="20"/>
                <w:szCs w:val="16"/>
                <w:highlight w:val="none"/>
              </w:rPr>
            </w:pP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3</w:t>
            </w: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0～50 mR/h or 0～500μSv/h</w:t>
            </w:r>
            <w:r/>
          </w:p>
          <w:p>
            <w:pPr>
              <w:ind w:firstLine="0"/>
              <w:rPr>
                <w:rFonts w:ascii="宋体" w:hAnsi="宋体"/>
                <w:color w:val="auto"/>
                <w:sz w:val="20"/>
                <w:szCs w:val="16"/>
                <w:highlight w:val="none"/>
              </w:rPr>
            </w:pP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4</w:t>
            </w: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0～500 mR/h or 0</w:t>
            </w:r>
            <w:r>
              <w:rPr>
                <w:rFonts w:hint="eastAsia" w:ascii="宋体" w:hAnsi="宋体"/>
                <w:color w:val="auto"/>
                <w:sz w:val="20"/>
                <w:szCs w:val="16"/>
                <w:highlight w:val="none"/>
                <w:lang w:eastAsia="zh-CN"/>
              </w:rPr>
              <w:t xml:space="preserve">~</w:t>
            </w:r>
            <w:r>
              <w:rPr>
                <w:rFonts w:hint="eastAsia" w:ascii="宋体" w:hAnsi="宋体"/>
                <w:color w:val="auto"/>
                <w:sz w:val="20"/>
                <w:szCs w:val="16"/>
                <w:highlight w:val="none"/>
              </w:rPr>
              <w:t xml:space="preserve">5 mSv/h</w:t>
            </w:r>
            <w:r/>
          </w:p>
          <w:p>
            <w:pPr>
              <w:ind w:firstLine="0"/>
              <w:rPr>
                <w:rFonts w:ascii="宋体" w:hAnsi="宋体" w:cs="宋体"/>
                <w:color w:val="auto"/>
                <w:highlight w:val="none"/>
              </w:rPr>
            </w:pPr>
            <w:r>
              <w:rPr>
                <w:rFonts w:hint="eastAsia" w:ascii="宋体" w:hAnsi="宋体" w:cs="宋体"/>
                <w:color w:val="auto"/>
                <w:highlight w:val="none"/>
              </w:rPr>
              <w:t xml:space="preserve">最大允许误差</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优于±10%</w:t>
            </w:r>
            <w:r/>
          </w:p>
          <w:p>
            <w:pPr>
              <w:ind w:firstLine="0"/>
              <w:rPr>
                <w:rFonts w:ascii="宋体" w:hAnsi="宋体"/>
                <w:color w:val="auto"/>
                <w:sz w:val="20"/>
                <w:szCs w:val="16"/>
                <w:highlight w:val="none"/>
                <w:lang w:eastAsia="zh-CN"/>
              </w:rPr>
            </w:pPr>
            <w:r>
              <w:rPr>
                <w:rFonts w:ascii="宋体" w:hAnsi="宋体"/>
                <w:color w:val="auto"/>
                <w:sz w:val="20"/>
                <w:szCs w:val="16"/>
                <w:highlight w:val="none"/>
                <w:lang w:eastAsia="zh-CN"/>
              </w:rPr>
            </w:r>
            <w:r/>
          </w:p>
        </w:tc>
        <w:tc>
          <w:tcPr>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符合得</w:t>
            </w:r>
            <w:r>
              <w:rPr>
                <w:rFonts w:hint="eastAsia" w:ascii="宋体" w:hAnsi="宋体" w:cs="宋体"/>
                <w:color w:val="auto"/>
                <w:sz w:val="22"/>
                <w:szCs w:val="22"/>
                <w:highlight w:val="none"/>
                <w:lang w:val="en-US" w:eastAsia="zh-CN"/>
              </w:rPr>
              <w:t xml:space="preserve">1</w:t>
            </w:r>
            <w:r>
              <w:rPr>
                <w:rFonts w:hint="eastAsia" w:ascii="宋体" w:hAnsi="宋体" w:cs="宋体"/>
                <w:color w:val="auto"/>
                <w:sz w:val="22"/>
                <w:szCs w:val="22"/>
                <w:highlight w:val="none"/>
                <w:lang w:eastAsia="zh-CN"/>
              </w:rPr>
              <w:t xml:space="preserve">分，</w:t>
            </w:r>
            <w:r/>
          </w:p>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val="en-US" w:eastAsia="zh-CN"/>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3</w:t>
            </w:r>
            <w:r/>
          </w:p>
        </w:tc>
        <w:tc>
          <w:tcPr>
            <w:tcBorders>
              <w:top w:val="single" w:color="auto" w:sz="4" w:space="0"/>
              <w:left w:val="none" w:color="000000" w:sz="4" w:space="0"/>
              <w:right w:val="single" w:color="auto" w:sz="4" w:space="0"/>
            </w:tcBorders>
            <w:tcW w:w="892" w:type="dxa"/>
            <w:vAlign w:val="center"/>
            <w:vMerge w:val="restart"/>
            <w:textDirection w:val="lrTb"/>
            <w:noWrap w:val="false"/>
          </w:tcPr>
          <w:p>
            <w:pPr>
              <w:pStyle w:val="1000"/>
              <w:ind w:left="0" w:firstLine="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高</w:t>
            </w:r>
            <w:r/>
          </w:p>
          <w:p>
            <w:pPr>
              <w:pStyle w:val="1000"/>
              <w:ind w:left="0" w:firstLine="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斯</w:t>
            </w:r>
            <w:r/>
          </w:p>
          <w:p>
            <w:pPr>
              <w:pStyle w:val="1000"/>
              <w:ind w:left="0" w:firstLine="0"/>
              <w:jc w:val="center"/>
              <w:rPr>
                <w:rFonts w:ascii="宋体" w:hAnsi="宋体" w:cs="宋体"/>
                <w:color w:val="auto"/>
                <w:sz w:val="22"/>
                <w:szCs w:val="22"/>
                <w:highlight w:val="none"/>
                <w:lang w:eastAsia="zh-CN"/>
              </w:rPr>
            </w:pPr>
            <w:r>
              <w:rPr>
                <w:rFonts w:hint="eastAsia" w:ascii="宋体" w:hAnsi="宋体"/>
                <w:b/>
                <w:bCs/>
                <w:color w:val="auto"/>
                <w:sz w:val="28"/>
                <w:szCs w:val="28"/>
                <w:highlight w:val="none"/>
              </w:rPr>
              <w:t xml:space="preserve">计 </w:t>
            </w:r>
            <w:r/>
          </w:p>
        </w:tc>
        <w:tc>
          <w:tcPr>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rPr>
                <w:rFonts w:ascii="宋体" w:hAnsi="宋体"/>
                <w:color w:val="auto"/>
                <w:sz w:val="21"/>
                <w:szCs w:val="18"/>
                <w:highlight w:val="none"/>
                <w:lang w:eastAsia="zh-CN"/>
              </w:rPr>
            </w:pPr>
            <w:r>
              <w:rPr>
                <w:rFonts w:hint="eastAsia" w:ascii="宋体" w:hAnsi="宋体"/>
                <w:color w:val="auto"/>
                <w:sz w:val="21"/>
                <w:szCs w:val="18"/>
                <w:highlight w:val="none"/>
                <w:lang w:eastAsia="zh-CN"/>
              </w:rPr>
              <w:t xml:space="preserve">功能要求</w:t>
            </w:r>
            <w:r/>
          </w:p>
          <w:p>
            <w:pPr>
              <w:ind w:firstLine="0"/>
              <w:spacing w:line="400" w:lineRule="exact"/>
              <w:rPr>
                <w:rFonts w:ascii="宋体" w:hAnsi="宋体"/>
                <w:color w:val="auto"/>
                <w:sz w:val="21"/>
                <w:szCs w:val="18"/>
                <w:highlight w:val="none"/>
                <w:lang w:eastAsia="zh-CN"/>
              </w:rPr>
            </w:pPr>
            <w:r>
              <w:rPr>
                <w:rFonts w:hint="eastAsia" w:ascii="宋体" w:hAnsi="宋体"/>
                <w:color w:val="auto"/>
                <w:sz w:val="21"/>
                <w:szCs w:val="18"/>
                <w:highlight w:val="none"/>
                <w:lang w:eastAsia="zh-CN"/>
              </w:rPr>
              <w:t xml:space="preserve">需具备IEEE-488数据接口和通讯功能</w:t>
            </w:r>
            <w:r/>
          </w:p>
          <w:p>
            <w:pPr>
              <w:ind w:firstLine="0"/>
              <w:spacing w:line="400" w:lineRule="exact"/>
              <w:rPr>
                <w:rFonts w:ascii="宋体" w:hAnsi="宋体"/>
                <w:color w:val="auto"/>
                <w:sz w:val="21"/>
                <w:szCs w:val="18"/>
                <w:highlight w:val="none"/>
                <w:lang w:eastAsia="zh-CN"/>
              </w:rPr>
            </w:pPr>
            <w:r>
              <w:rPr>
                <w:rFonts w:hint="eastAsia" w:ascii="宋体" w:hAnsi="宋体"/>
                <w:color w:val="auto"/>
                <w:sz w:val="21"/>
                <w:szCs w:val="18"/>
                <w:highlight w:val="none"/>
                <w:lang w:eastAsia="zh-CN"/>
              </w:rPr>
              <w:t xml:space="preserve">需配备具有温度补偿功能的配套探头，探头磁场为横向探头</w:t>
            </w:r>
            <w:r/>
          </w:p>
          <w:p>
            <w:pPr>
              <w:ind w:firstLine="0"/>
              <w:spacing w:line="400" w:lineRule="exact"/>
              <w:rPr>
                <w:rFonts w:ascii="宋体" w:hAnsi="宋体" w:cs="宋体"/>
                <w:color w:val="auto"/>
                <w:sz w:val="20"/>
                <w:szCs w:val="20"/>
                <w:highlight w:val="none"/>
                <w:lang w:eastAsia="zh-CN"/>
              </w:rPr>
            </w:pPr>
            <w:r>
              <w:rPr>
                <w:rFonts w:hint="eastAsia" w:ascii="宋体" w:hAnsi="宋体"/>
                <w:color w:val="auto"/>
                <w:sz w:val="21"/>
                <w:szCs w:val="18"/>
                <w:highlight w:val="none"/>
                <w:lang w:eastAsia="zh-CN"/>
              </w:rPr>
              <w:t xml:space="preserve">需具备直流测量模式、RMS测量模式、峰值测量模式</w:t>
            </w:r>
            <w:r/>
          </w:p>
        </w:tc>
        <w:tc>
          <w:tcPr>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符合得</w:t>
            </w:r>
            <w:r>
              <w:rPr>
                <w:rFonts w:hint="eastAsia" w:ascii="宋体" w:hAnsi="宋体" w:cs="宋体"/>
                <w:color w:val="auto"/>
                <w:sz w:val="22"/>
                <w:szCs w:val="22"/>
                <w:highlight w:val="none"/>
                <w:lang w:eastAsia="zh-CN"/>
              </w:rPr>
              <w:t xml:space="preserve">1</w:t>
            </w:r>
            <w:r>
              <w:rPr>
                <w:rFonts w:hint="eastAsia" w:ascii="宋体" w:hAnsi="宋体" w:cs="宋体"/>
                <w:color w:val="auto"/>
                <w:sz w:val="22"/>
                <w:szCs w:val="22"/>
                <w:highlight w:val="none"/>
              </w:rPr>
              <w:t xml:space="preserve">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p>
        </w:tc>
      </w:tr>
      <w:tr>
        <w:trPr>
          <w:jc w:val="center"/>
          <w:trHeight w:val="3438"/>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4</w:t>
            </w:r>
            <w:r/>
          </w:p>
        </w:tc>
        <w:tc>
          <w:tcPr>
            <w:tcBorders>
              <w:left w:val="none" w:color="000000" w:sz="4" w:space="0"/>
              <w:right w:val="single" w:color="auto" w:sz="4" w:space="0"/>
            </w:tcBorders>
            <w:tcW w:w="892" w:type="dxa"/>
            <w:vAlign w:val="center"/>
            <w:vMerge w:val="continue"/>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163"/>
              <w:rPr>
                <w:rFonts w:ascii="宋体" w:hAnsi="宋体"/>
                <w:color w:val="auto"/>
                <w:sz w:val="21"/>
                <w:szCs w:val="18"/>
                <w:highlight w:val="none"/>
                <w:lang w:eastAsia="zh-CN"/>
              </w:rPr>
            </w:pPr>
            <w:r>
              <w:rPr>
                <w:rFonts w:ascii="宋体" w:hAnsi="宋体"/>
                <w:color w:val="auto"/>
                <w:sz w:val="21"/>
                <w:szCs w:val="18"/>
                <w:highlight w:val="none"/>
                <w:lang w:val="it-IT" w:eastAsia="zh-CN"/>
              </w:rPr>
              <w:t xml:space="preserve">技术</w:t>
            </w:r>
            <w:r>
              <w:rPr>
                <w:rFonts w:hint="eastAsia" w:ascii="宋体" w:hAnsi="宋体"/>
                <w:color w:val="auto"/>
                <w:sz w:val="21"/>
                <w:szCs w:val="18"/>
                <w:highlight w:val="none"/>
                <w:lang w:eastAsia="zh-CN"/>
              </w:rPr>
              <w:t xml:space="preserve">要求</w:t>
            </w:r>
            <w:r/>
          </w:p>
          <w:p>
            <w:pPr>
              <w:ind w:firstLine="0"/>
              <w:spacing w:before="60" w:after="60"/>
              <w:rPr>
                <w:rFonts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 xml:space="preserve">主机测量范围：1mT～2T，DC～50 kHz频率范围</w:t>
            </w:r>
            <w:r/>
          </w:p>
          <w:p>
            <w:pPr>
              <w:ind w:firstLine="0"/>
              <w:spacing w:before="60" w:after="60"/>
              <w:rPr>
                <w:rFonts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 xml:space="preserve">直流测量分辨率至0.02mGs</w:t>
            </w:r>
            <w:r/>
          </w:p>
          <w:p>
            <w:pPr>
              <w:ind w:firstLine="0"/>
              <w:spacing w:before="60" w:after="60"/>
              <w:rPr>
                <w:rFonts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 xml:space="preserve">测量频率：DC to 50 kHz</w:t>
            </w:r>
            <w:r/>
          </w:p>
          <w:p>
            <w:pPr>
              <w:ind w:firstLine="0"/>
              <w:spacing w:before="60" w:after="60"/>
              <w:rPr>
                <w:rFonts w:ascii="宋体" w:hAnsi="宋体" w:cs="宋体"/>
                <w:color w:val="auto"/>
                <w:sz w:val="20"/>
                <w:szCs w:val="20"/>
                <w:highlight w:val="none"/>
                <w:lang w:eastAsia="zh-CN"/>
              </w:rPr>
            </w:pPr>
            <w:r>
              <w:rPr>
                <w:rFonts w:hint="eastAsia" w:ascii="宋体" w:hAnsi="宋体" w:cs="宋体"/>
                <w:color w:val="auto"/>
                <w:sz w:val="21"/>
                <w:szCs w:val="18"/>
                <w:highlight w:val="none"/>
                <w:lang w:eastAsia="zh-CN"/>
              </w:rPr>
              <w:t xml:space="preserve">需≥15个通带和3个低通交流滤波</w:t>
            </w:r>
            <w:r>
              <w:rPr>
                <w:rFonts w:hint="eastAsia" w:ascii="宋体" w:hAnsi="宋体" w:cs="宋体"/>
                <w:color w:val="auto"/>
                <w:sz w:val="21"/>
                <w:szCs w:val="18"/>
                <w:highlight w:val="none"/>
                <w:lang w:eastAsia="zh-CN"/>
              </w:rPr>
              <w:br/>
            </w:r>
            <w:r>
              <w:rPr>
                <w:rFonts w:hint="eastAsia" w:ascii="宋体" w:hAnsi="宋体" w:cs="宋体"/>
                <w:color w:val="auto"/>
                <w:sz w:val="21"/>
                <w:szCs w:val="18"/>
                <w:highlight w:val="none"/>
                <w:lang w:eastAsia="zh-CN"/>
              </w:rPr>
              <w:t xml:space="preserve">数据缓冲器采样率不小于每秒1000个读数</w:t>
            </w:r>
            <w:r>
              <w:rPr>
                <w:rFonts w:hint="eastAsia" w:ascii="宋体" w:hAnsi="宋体" w:cs="宋体"/>
                <w:color w:val="auto"/>
                <w:sz w:val="21"/>
                <w:szCs w:val="18"/>
                <w:highlight w:val="none"/>
                <w:lang w:eastAsia="zh-CN"/>
              </w:rPr>
              <w:br/>
            </w:r>
            <w:r>
              <w:rPr>
                <w:rFonts w:hint="eastAsia" w:ascii="宋体" w:hAnsi="宋体" w:cs="宋体"/>
                <w:color w:val="auto"/>
                <w:sz w:val="21"/>
                <w:szCs w:val="18"/>
                <w:highlight w:val="none"/>
                <w:lang w:eastAsia="zh-CN"/>
              </w:rPr>
              <w:t xml:space="preserve">峰值捕获至20</w:t>
            </w:r>
            <w:r>
              <w:rPr>
                <w:rFonts w:hint="eastAsia" w:ascii="宋体" w:hAnsi="宋体" w:cs="宋体"/>
                <w:color w:val="auto"/>
                <w:sz w:val="21"/>
                <w:szCs w:val="18"/>
                <w:highlight w:val="none"/>
              </w:rPr>
              <w:t xml:space="preserve">μ</w:t>
            </w:r>
            <w:r>
              <w:rPr>
                <w:rFonts w:hint="eastAsia" w:ascii="宋体" w:hAnsi="宋体" w:cs="宋体"/>
                <w:color w:val="auto"/>
                <w:sz w:val="21"/>
                <w:szCs w:val="18"/>
                <w:highlight w:val="none"/>
                <w:lang w:eastAsia="zh-CN"/>
              </w:rPr>
              <w:t xml:space="preserve">s脉宽</w:t>
            </w:r>
            <w:r/>
          </w:p>
        </w:tc>
        <w:tc>
          <w:tcPr>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符合得</w:t>
            </w:r>
            <w:r>
              <w:rPr>
                <w:rFonts w:ascii="宋体" w:hAnsi="宋体" w:cs="宋体"/>
                <w:color w:val="auto"/>
                <w:sz w:val="22"/>
                <w:szCs w:val="22"/>
                <w:highlight w:val="none"/>
                <w:lang w:eastAsia="zh-CN"/>
              </w:rPr>
              <w:t xml:space="preserve">1</w:t>
            </w:r>
            <w:r>
              <w:rPr>
                <w:rFonts w:hint="eastAsia" w:ascii="宋体" w:hAnsi="宋体" w:cs="宋体"/>
                <w:color w:val="auto"/>
                <w:sz w:val="22"/>
                <w:szCs w:val="22"/>
                <w:highlight w:val="none"/>
                <w:lang w:eastAsia="zh-CN"/>
              </w:rPr>
              <w:t xml:space="preserve">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5</w:t>
            </w:r>
            <w:r/>
          </w:p>
        </w:tc>
        <w:tc>
          <w:tcPr>
            <w:tcBorders>
              <w:left w:val="none" w:color="000000" w:sz="4" w:space="0"/>
              <w:right w:val="single" w:color="auto" w:sz="4" w:space="0"/>
            </w:tcBorders>
            <w:tcW w:w="892" w:type="dxa"/>
            <w:vAlign w:val="center"/>
            <w:vMerge w:val="continue"/>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60" w:after="60"/>
              <w:rPr>
                <w:rFonts w:ascii="宋体" w:hAnsi="宋体" w:cs="宋体"/>
                <w:bCs/>
                <w:color w:val="auto"/>
                <w:sz w:val="20"/>
                <w:szCs w:val="20"/>
                <w:highlight w:val="none"/>
                <w:lang w:eastAsia="zh-CN"/>
              </w:rPr>
            </w:pPr>
            <w:r>
              <w:rPr>
                <w:rFonts w:ascii="宋体" w:hAnsi="宋体" w:cs="宋体"/>
                <w:color w:val="auto"/>
                <w:sz w:val="21"/>
                <w:szCs w:val="18"/>
                <w:highlight w:val="none"/>
              </w:rPr>
              <w:t xml:space="preserve">▲</w:t>
            </w:r>
            <w:r>
              <w:rPr>
                <w:rFonts w:hint="eastAsia" w:ascii="宋体" w:hAnsi="宋体" w:cs="宋体"/>
                <w:color w:val="auto"/>
                <w:sz w:val="21"/>
                <w:szCs w:val="18"/>
                <w:highlight w:val="none"/>
              </w:rPr>
              <w:t xml:space="preserve">准确度等级</w:t>
            </w:r>
            <w:r>
              <w:rPr>
                <w:rFonts w:hint="eastAsia" w:ascii="宋体" w:hAnsi="宋体" w:cs="宋体"/>
                <w:color w:val="auto"/>
                <w:sz w:val="21"/>
                <w:szCs w:val="18"/>
                <w:highlight w:val="none"/>
                <w:lang w:eastAsia="zh-CN"/>
              </w:rPr>
              <w:t xml:space="preserve">：</w:t>
            </w:r>
            <w:r>
              <w:rPr>
                <w:rFonts w:hint="eastAsia" w:ascii="宋体" w:hAnsi="宋体" w:cs="宋体"/>
                <w:color w:val="auto"/>
                <w:sz w:val="21"/>
                <w:szCs w:val="18"/>
                <w:highlight w:val="none"/>
              </w:rPr>
              <w:t xml:space="preserve">0.05级</w:t>
            </w:r>
            <w:r/>
          </w:p>
        </w:tc>
        <w:tc>
          <w:tcPr>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符合得2分，不符合不得分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6</w:t>
            </w:r>
            <w:r/>
          </w:p>
        </w:tc>
        <w:tc>
          <w:tcPr>
            <w:tcBorders>
              <w:left w:val="none" w:color="000000" w:sz="4" w:space="0"/>
              <w:bottom w:val="single" w:color="auto" w:sz="4" w:space="0"/>
              <w:right w:val="single" w:color="auto" w:sz="4" w:space="0"/>
            </w:tcBorders>
            <w:tcW w:w="892" w:type="dxa"/>
            <w:vAlign w:val="center"/>
            <w:vMerge w:val="continue"/>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60" w:after="60"/>
              <w:rPr>
                <w:rFonts w:ascii="宋体" w:hAnsi="宋体" w:cs="宋体"/>
                <w:bCs/>
                <w:color w:val="auto"/>
                <w:sz w:val="20"/>
                <w:szCs w:val="20"/>
                <w:highlight w:val="none"/>
                <w:lang w:eastAsia="zh-CN"/>
              </w:rPr>
            </w:pPr>
            <w:r>
              <w:rPr>
                <w:rFonts w:ascii="宋体" w:hAnsi="宋体" w:cs="宋体"/>
                <w:color w:val="auto"/>
                <w:sz w:val="21"/>
                <w:szCs w:val="18"/>
                <w:highlight w:val="none"/>
                <w:lang w:eastAsia="zh-CN"/>
              </w:rPr>
              <w:t xml:space="preserve">▲</w:t>
            </w:r>
            <w:r>
              <w:rPr>
                <w:rFonts w:hint="eastAsia" w:ascii="宋体" w:hAnsi="宋体" w:cs="宋体"/>
                <w:color w:val="auto"/>
                <w:sz w:val="21"/>
                <w:szCs w:val="18"/>
                <w:highlight w:val="none"/>
                <w:lang w:eastAsia="zh-CN"/>
              </w:rPr>
              <w:t xml:space="preserve">探头测量范围：DC～800Hz，3.6Gs～35kGs</w:t>
            </w:r>
            <w:r/>
          </w:p>
        </w:tc>
        <w:tc>
          <w:tcPr>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符合得2分，不符合不得分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7</w:t>
            </w:r>
            <w:r/>
          </w:p>
        </w:tc>
        <w:tc>
          <w:tcPr>
            <w:tcBorders>
              <w:top w:val="single" w:color="auto" w:sz="4" w:space="0"/>
              <w:left w:val="none" w:color="000000" w:sz="4" w:space="0"/>
              <w:right w:val="single" w:color="auto" w:sz="4" w:space="0"/>
            </w:tcBorders>
            <w:tcW w:w="892" w:type="dxa"/>
            <w:vAlign w:val="center"/>
            <w:vMerge w:val="restart"/>
            <w:textDirection w:val="lrTb"/>
            <w:noWrap w:val="false"/>
          </w:tcPr>
          <w:p>
            <w:pPr>
              <w:ind w:firstLine="0"/>
              <w:rPr>
                <w:rFonts w:ascii="宋体" w:hAnsi="宋体"/>
                <w:b/>
                <w:color w:val="auto"/>
                <w:highlight w:val="none"/>
              </w:rPr>
            </w:pPr>
            <w:r>
              <w:rPr>
                <w:rFonts w:hint="eastAsia" w:ascii="宋体" w:hAnsi="宋体"/>
                <w:b/>
                <w:color w:val="auto"/>
                <w:highlight w:val="none"/>
              </w:rPr>
              <w:t xml:space="preserve">阻抗探头</w:t>
            </w:r>
            <w:r/>
          </w:p>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60" w:after="60"/>
              <w:rPr>
                <w:rFonts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 xml:space="preserve">功能要求</w:t>
            </w:r>
            <w:r/>
          </w:p>
          <w:p>
            <w:pPr>
              <w:ind w:firstLine="0"/>
              <w:spacing w:before="60" w:after="60"/>
              <w:rPr>
                <w:rFonts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 xml:space="preserve">阻抗探头套件需适配E4990A-120等主流阻抗分析仪</w:t>
            </w:r>
            <w:r/>
          </w:p>
          <w:p>
            <w:pPr>
              <w:ind w:firstLine="0"/>
              <w:spacing w:before="60" w:after="60"/>
              <w:rPr>
                <w:rFonts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 xml:space="preserve">需能够进行电路内测量（印刷电路图案、电路的输入/输出阻抗等）</w:t>
            </w:r>
            <w:r/>
          </w:p>
          <w:p>
            <w:pPr>
              <w:ind w:firstLine="0"/>
              <w:spacing w:before="60" w:after="60"/>
              <w:rPr>
                <w:rFonts w:ascii="宋体" w:hAnsi="宋体" w:cs="宋体"/>
                <w:color w:val="auto"/>
                <w:sz w:val="21"/>
                <w:szCs w:val="18"/>
                <w:highlight w:val="none"/>
                <w:lang w:eastAsia="zh-CN"/>
              </w:rPr>
            </w:pPr>
            <w:r>
              <w:rPr>
                <w:rFonts w:hint="eastAsia" w:ascii="宋体" w:hAnsi="宋体" w:cs="宋体"/>
                <w:color w:val="auto"/>
                <w:sz w:val="21"/>
                <w:szCs w:val="18"/>
                <w:highlight w:val="none"/>
                <w:lang w:eastAsia="zh-CN"/>
              </w:rPr>
              <w:t xml:space="preserve">需具有阻抗扫描测量功能</w:t>
            </w:r>
            <w:r/>
          </w:p>
          <w:p>
            <w:pPr>
              <w:ind w:firstLine="0"/>
              <w:spacing w:before="60" w:after="60"/>
              <w:rPr>
                <w:rFonts w:ascii="宋体" w:hAnsi="宋体" w:cs="宋体"/>
                <w:bCs/>
                <w:color w:val="auto"/>
                <w:sz w:val="20"/>
                <w:szCs w:val="20"/>
                <w:highlight w:val="none"/>
                <w:lang w:eastAsia="zh-CN"/>
              </w:rPr>
            </w:pPr>
            <w:r>
              <w:rPr>
                <w:rFonts w:hint="eastAsia" w:ascii="宋体" w:hAnsi="宋体" w:cs="宋体"/>
                <w:color w:val="auto"/>
                <w:sz w:val="21"/>
                <w:szCs w:val="18"/>
                <w:highlight w:val="none"/>
                <w:lang w:eastAsia="zh-CN"/>
              </w:rPr>
              <w:t xml:space="preserve">被测设备可以通过使用针探头、夹子导线（鳄鱼夹适配器）或 BNC 适配器连接</w:t>
            </w:r>
            <w:r/>
          </w:p>
        </w:tc>
        <w:tc>
          <w:tcPr>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符合得</w:t>
            </w:r>
            <w:r>
              <w:rPr>
                <w:rFonts w:ascii="宋体" w:hAnsi="宋体" w:cs="宋体"/>
                <w:color w:val="auto"/>
                <w:sz w:val="22"/>
                <w:szCs w:val="22"/>
                <w:highlight w:val="none"/>
                <w:lang w:eastAsia="zh-CN"/>
              </w:rPr>
              <w:t xml:space="preserve">1</w:t>
            </w:r>
            <w:r>
              <w:rPr>
                <w:rFonts w:hint="eastAsia" w:ascii="宋体" w:hAnsi="宋体" w:cs="宋体"/>
                <w:color w:val="auto"/>
                <w:sz w:val="22"/>
                <w:szCs w:val="22"/>
                <w:highlight w:val="none"/>
                <w:lang w:eastAsia="zh-CN"/>
              </w:rPr>
              <w:t xml:space="preserve">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1</w:t>
            </w:r>
            <w:r/>
          </w:p>
        </w:tc>
      </w:tr>
      <w:tr>
        <w:trPr>
          <w:jc w:val="center"/>
          <w:trHeight w:val="2929"/>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8</w:t>
            </w:r>
            <w:r/>
          </w:p>
        </w:tc>
        <w:tc>
          <w:tcPr>
            <w:shd w:val="clear" w:color="auto" w:fill="auto"/>
            <w:tcBorders>
              <w:left w:val="none" w:color="000000" w:sz="4" w:space="0"/>
              <w:right w:val="single" w:color="auto" w:sz="4" w:space="0"/>
            </w:tcBorders>
            <w:tcW w:w="892" w:type="dxa"/>
            <w:vAlign w:val="center"/>
            <w:vMerge w:val="continue"/>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shd w:val="clear" w:color="auto" w:fill="auto"/>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60" w:after="60"/>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技术要求</w:t>
            </w:r>
            <w:r/>
          </w:p>
          <w:p>
            <w:pPr>
              <w:ind w:firstLine="0"/>
              <w:spacing w:before="60" w:after="60"/>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频率范围：20 Hz～120 MHz</w:t>
            </w:r>
            <w:r/>
          </w:p>
          <w:p>
            <w:pPr>
              <w:ind w:firstLine="0"/>
              <w:spacing w:before="60" w:after="60"/>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基本精度：±1%</w:t>
            </w:r>
            <w:r/>
          </w:p>
          <w:p>
            <w:pPr>
              <w:ind w:firstLine="0"/>
              <w:spacing w:before="60" w:after="60"/>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探头适配类型：需可适配针式探头、夹式探头、BNC适配器等</w:t>
            </w:r>
            <w:r/>
          </w:p>
          <w:p>
            <w:pPr>
              <w:ind w:firstLine="0"/>
              <w:spacing w:before="60" w:after="60"/>
              <w:rPr>
                <w:rFonts w:ascii="宋体" w:hAnsi="宋体" w:cs="宋体"/>
                <w:color w:val="auto"/>
                <w:sz w:val="22"/>
                <w:szCs w:val="22"/>
                <w:highlight w:val="none"/>
                <w:lang w:eastAsia="zh-CN"/>
              </w:rPr>
            </w:pPr>
            <w:r>
              <w:rPr>
                <w:rFonts w:hint="eastAsia" w:ascii="宋体" w:hAnsi="宋体" w:cs="宋体"/>
                <w:color w:val="auto"/>
                <w:sz w:val="22"/>
                <w:szCs w:val="20"/>
                <w:highlight w:val="none"/>
                <w:lang w:eastAsia="zh-CN"/>
              </w:rPr>
              <w:t xml:space="preserve">工作温度：（-20～75）°C</w:t>
            </w:r>
            <w:r/>
          </w:p>
        </w:tc>
        <w:tc>
          <w:tcPr>
            <w:shd w:val="clear" w:color="auto" w:fill="auto"/>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符合得1分，不符合不得分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p>
        </w:tc>
      </w:tr>
      <w:tr>
        <w:trPr>
          <w:jc w:val="center"/>
          <w:trHeight w:val="669"/>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9</w:t>
            </w:r>
            <w:r/>
          </w:p>
        </w:tc>
        <w:tc>
          <w:tcPr>
            <w:shd w:val="clear" w:color="auto" w:fill="auto"/>
            <w:tcBorders>
              <w:left w:val="none" w:color="000000" w:sz="4" w:space="0"/>
              <w:bottom w:val="single" w:color="auto" w:sz="4" w:space="0"/>
              <w:right w:val="single" w:color="auto" w:sz="4" w:space="0"/>
            </w:tcBorders>
            <w:tcW w:w="892" w:type="dxa"/>
            <w:vAlign w:val="center"/>
            <w:vMerge w:val="continue"/>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shd w:val="clear" w:color="auto" w:fill="auto"/>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60" w:after="60"/>
              <w:rPr>
                <w:rFonts w:ascii="宋体" w:hAnsi="宋体" w:cs="宋体"/>
                <w:color w:val="auto"/>
                <w:sz w:val="22"/>
                <w:szCs w:val="22"/>
                <w:highlight w:val="none"/>
                <w:lang w:eastAsia="zh-CN"/>
              </w:rPr>
            </w:pPr>
            <w:r>
              <w:rPr>
                <w:rFonts w:hint="eastAsia" w:ascii="宋体" w:hAnsi="宋体" w:cs="宋体"/>
                <w:color w:val="auto"/>
                <w:highlight w:val="none"/>
              </w:rPr>
              <w:t xml:space="preserve">▲电压范围：±40V</w:t>
            </w:r>
            <w:r/>
          </w:p>
        </w:tc>
        <w:tc>
          <w:tcPr>
            <w:shd w:val="clear" w:color="auto" w:fill="auto"/>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符合得</w:t>
            </w:r>
            <w:r>
              <w:rPr>
                <w:rFonts w:ascii="宋体" w:hAnsi="宋体" w:cs="宋体"/>
                <w:color w:val="auto"/>
                <w:sz w:val="22"/>
                <w:szCs w:val="22"/>
                <w:highlight w:val="none"/>
                <w:lang w:eastAsia="zh-CN"/>
              </w:rPr>
              <w:t xml:space="preserve">2</w:t>
            </w:r>
            <w:r>
              <w:rPr>
                <w:rFonts w:hint="eastAsia" w:ascii="宋体" w:hAnsi="宋体" w:cs="宋体"/>
                <w:color w:val="auto"/>
                <w:sz w:val="22"/>
                <w:szCs w:val="22"/>
                <w:highlight w:val="none"/>
                <w:lang w:eastAsia="zh-CN"/>
              </w:rPr>
              <w:t xml:space="preserve">分，</w:t>
            </w:r>
            <w:r/>
          </w:p>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10</w:t>
            </w:r>
            <w:r/>
          </w:p>
        </w:tc>
        <w:tc>
          <w:tcPr>
            <w:shd w:val="clear" w:color="auto" w:fill="auto"/>
            <w:tcBorders>
              <w:top w:val="single" w:color="auto" w:sz="4" w:space="0"/>
              <w:left w:val="none" w:color="000000" w:sz="4" w:space="0"/>
              <w:right w:val="single" w:color="auto" w:sz="4" w:space="0"/>
            </w:tcBorders>
            <w:tcW w:w="892" w:type="dxa"/>
            <w:vAlign w:val="center"/>
            <w:vMerge w:val="restart"/>
            <w:textDirection w:val="lrTb"/>
            <w:noWrap w:val="false"/>
          </w:tcPr>
          <w:p>
            <w:pPr>
              <w:pStyle w:val="1000"/>
              <w:ind w:left="0" w:firstLine="0"/>
              <w:jc w:val="center"/>
              <w:rPr>
                <w:rFonts w:ascii="宋体" w:hAnsi="宋体"/>
                <w:b/>
                <w:color w:val="auto"/>
                <w:highlight w:val="none"/>
              </w:rPr>
            </w:pPr>
            <w:r>
              <w:rPr>
                <w:rFonts w:hint="eastAsia" w:ascii="宋体" w:hAnsi="宋体"/>
                <w:b/>
                <w:color w:val="auto"/>
                <w:highlight w:val="none"/>
              </w:rPr>
              <w:t xml:space="preserve">端</w:t>
            </w:r>
            <w:r/>
          </w:p>
          <w:p>
            <w:pPr>
              <w:pStyle w:val="1000"/>
              <w:ind w:left="0" w:firstLine="0"/>
              <w:jc w:val="center"/>
              <w:rPr>
                <w:rFonts w:ascii="宋体" w:hAnsi="宋体"/>
                <w:b/>
                <w:color w:val="auto"/>
                <w:highlight w:val="none"/>
              </w:rPr>
            </w:pPr>
            <w:r>
              <w:rPr>
                <w:rFonts w:hint="eastAsia" w:ascii="宋体" w:hAnsi="宋体"/>
                <w:b/>
                <w:color w:val="auto"/>
                <w:highlight w:val="none"/>
              </w:rPr>
              <w:t xml:space="preserve">子</w:t>
            </w:r>
            <w:r/>
          </w:p>
          <w:p>
            <w:pPr>
              <w:pStyle w:val="1000"/>
              <w:ind w:left="0" w:firstLine="0"/>
              <w:jc w:val="center"/>
              <w:rPr>
                <w:rFonts w:ascii="宋体" w:hAnsi="宋体"/>
                <w:b/>
                <w:color w:val="auto"/>
                <w:highlight w:val="none"/>
              </w:rPr>
            </w:pPr>
            <w:r>
              <w:rPr>
                <w:rFonts w:hint="eastAsia" w:ascii="宋体" w:hAnsi="宋体"/>
                <w:b/>
                <w:color w:val="auto"/>
                <w:highlight w:val="none"/>
              </w:rPr>
              <w:t xml:space="preserve">适</w:t>
            </w:r>
            <w:r/>
          </w:p>
          <w:p>
            <w:pPr>
              <w:pStyle w:val="1000"/>
              <w:ind w:left="0" w:firstLine="0"/>
              <w:jc w:val="center"/>
              <w:rPr>
                <w:rFonts w:ascii="宋体" w:hAnsi="宋体"/>
                <w:b/>
                <w:color w:val="auto"/>
                <w:highlight w:val="none"/>
              </w:rPr>
            </w:pPr>
            <w:r>
              <w:rPr>
                <w:rFonts w:hint="eastAsia" w:ascii="宋体" w:hAnsi="宋体"/>
                <w:b/>
                <w:color w:val="auto"/>
                <w:highlight w:val="none"/>
              </w:rPr>
              <w:t xml:space="preserve">配</w:t>
            </w:r>
            <w:r/>
          </w:p>
          <w:p>
            <w:pPr>
              <w:pStyle w:val="1000"/>
              <w:ind w:left="0" w:firstLine="0"/>
              <w:jc w:val="center"/>
              <w:rPr>
                <w:rFonts w:ascii="宋体" w:hAnsi="宋体" w:cs="宋体"/>
                <w:color w:val="auto"/>
                <w:sz w:val="22"/>
                <w:szCs w:val="22"/>
                <w:highlight w:val="none"/>
                <w:lang w:eastAsia="zh-CN"/>
              </w:rPr>
            </w:pPr>
            <w:r>
              <w:rPr>
                <w:rFonts w:hint="eastAsia" w:ascii="宋体" w:hAnsi="宋体"/>
                <w:b/>
                <w:color w:val="auto"/>
                <w:highlight w:val="none"/>
              </w:rPr>
              <w:t xml:space="preserve">器</w:t>
            </w:r>
            <w:r/>
          </w:p>
        </w:tc>
        <w:tc>
          <w:tcPr>
            <w:shd w:val="clear" w:color="auto" w:fill="auto"/>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60" w:after="60"/>
              <w:rPr>
                <w:rFonts w:ascii="宋体" w:hAnsi="宋体" w:cs="宋体"/>
                <w:color w:val="auto"/>
                <w:highlight w:val="none"/>
                <w:lang w:eastAsia="zh-CN"/>
              </w:rPr>
            </w:pPr>
            <w:r>
              <w:rPr>
                <w:rFonts w:hint="eastAsia" w:ascii="宋体" w:hAnsi="宋体" w:cs="宋体"/>
                <w:color w:val="auto"/>
                <w:highlight w:val="none"/>
                <w:lang w:eastAsia="zh-CN"/>
              </w:rPr>
              <w:t xml:space="preserve">功能要求</w:t>
            </w:r>
            <w:r/>
          </w:p>
          <w:p>
            <w:pPr>
              <w:ind w:firstLine="0"/>
              <w:spacing w:before="60" w:after="60"/>
              <w:rPr>
                <w:rFonts w:ascii="宋体" w:hAnsi="宋体" w:cs="宋体"/>
                <w:color w:val="auto"/>
                <w:highlight w:val="none"/>
                <w:lang w:eastAsia="zh-CN"/>
              </w:rPr>
            </w:pPr>
            <w:r>
              <w:rPr>
                <w:rFonts w:hint="eastAsia" w:ascii="宋体" w:hAnsi="宋体" w:cs="宋体"/>
                <w:color w:val="auto"/>
                <w:highlight w:val="none"/>
                <w:lang w:eastAsia="zh-CN"/>
              </w:rPr>
              <w:t xml:space="preserve">终端适配器需实现将仪器的终端配置转化为7毫米的终端配置，即没有7毫米终端连接器的仪器可以使用带有7毫米终端连接器的测试夹具。</w:t>
            </w:r>
            <w:r/>
          </w:p>
          <w:p>
            <w:pPr>
              <w:ind w:firstLine="0"/>
              <w:spacing w:before="60" w:after="60"/>
              <w:rPr>
                <w:rFonts w:ascii="宋体" w:hAnsi="宋体" w:cs="宋体"/>
                <w:color w:val="auto"/>
                <w:sz w:val="22"/>
                <w:szCs w:val="22"/>
                <w:highlight w:val="none"/>
                <w:lang w:eastAsia="zh-CN"/>
              </w:rPr>
            </w:pPr>
            <w:r>
              <w:rPr>
                <w:rFonts w:hint="eastAsia" w:ascii="宋体" w:hAnsi="宋体" w:cs="宋体"/>
                <w:color w:val="auto"/>
                <w:highlight w:val="none"/>
                <w:lang w:eastAsia="zh-CN"/>
              </w:rPr>
              <w:t xml:space="preserve">具备可将4终端对配置转换为7毫米终端连接器，适配与E4990A一起使用</w:t>
            </w:r>
            <w:r/>
          </w:p>
        </w:tc>
        <w:tc>
          <w:tcPr>
            <w:shd w:val="clear" w:color="auto" w:fill="auto"/>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符合得1分，不符合不得分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11</w:t>
            </w:r>
            <w:r/>
          </w:p>
        </w:tc>
        <w:tc>
          <w:tcPr>
            <w:shd w:val="clear" w:color="auto" w:fill="auto"/>
            <w:tcBorders>
              <w:left w:val="none" w:color="000000" w:sz="4" w:space="0"/>
              <w:right w:val="single" w:color="auto" w:sz="4" w:space="0"/>
            </w:tcBorders>
            <w:tcW w:w="892" w:type="dxa"/>
            <w:vAlign w:val="center"/>
            <w:vMerge w:val="continue"/>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shd w:val="clear" w:color="auto" w:fill="auto"/>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60" w:after="60"/>
              <w:rPr>
                <w:rFonts w:ascii="宋体" w:hAnsi="宋体" w:cs="宋体"/>
                <w:color w:val="auto"/>
                <w:highlight w:val="none"/>
                <w:lang w:eastAsia="zh-CN"/>
              </w:rPr>
            </w:pPr>
            <w:r>
              <w:rPr>
                <w:rFonts w:hint="eastAsia" w:ascii="宋体" w:hAnsi="宋体" w:cs="宋体"/>
                <w:color w:val="auto"/>
                <w:highlight w:val="none"/>
                <w:lang w:eastAsia="zh-CN"/>
              </w:rPr>
              <w:t xml:space="preserve">技术要求</w:t>
            </w:r>
            <w:r/>
          </w:p>
          <w:p>
            <w:pPr>
              <w:ind w:firstLine="0"/>
              <w:spacing w:before="60" w:after="60"/>
              <w:rPr>
                <w:rFonts w:ascii="宋体" w:hAnsi="宋体" w:cs="宋体"/>
                <w:color w:val="auto"/>
                <w:highlight w:val="none"/>
                <w:lang w:eastAsia="zh-CN"/>
              </w:rPr>
            </w:pPr>
            <w:r>
              <w:rPr>
                <w:rFonts w:hint="eastAsia" w:ascii="宋体" w:hAnsi="宋体" w:cs="宋体"/>
                <w:color w:val="auto"/>
                <w:highlight w:val="none"/>
                <w:lang w:eastAsia="zh-CN"/>
              </w:rPr>
              <w:t xml:space="preserve">▲2.1频率范围：40 Hz至110 MHz</w:t>
            </w:r>
            <w:r/>
          </w:p>
          <w:p>
            <w:pPr>
              <w:ind w:firstLine="0"/>
              <w:spacing w:before="60" w:after="60"/>
              <w:rPr>
                <w:rFonts w:ascii="宋体" w:hAnsi="宋体" w:cs="宋体"/>
                <w:color w:val="auto"/>
                <w:sz w:val="22"/>
                <w:szCs w:val="22"/>
                <w:highlight w:val="none"/>
                <w:lang w:eastAsia="zh-CN"/>
              </w:rPr>
            </w:pPr>
            <w:r>
              <w:rPr>
                <w:rFonts w:hint="eastAsia" w:ascii="宋体" w:hAnsi="宋体" w:cs="宋体"/>
                <w:color w:val="auto"/>
                <w:highlight w:val="none"/>
              </w:rPr>
              <w:t xml:space="preserve">▲2.2电压范围：±40V</w:t>
            </w:r>
            <w:r/>
          </w:p>
        </w:tc>
        <w:tc>
          <w:tcPr>
            <w:shd w:val="clear" w:color="auto" w:fill="auto"/>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lang w:eastAsia="zh-CN"/>
              </w:rPr>
              <w:t xml:space="preserve">符合得</w:t>
            </w:r>
            <w:r>
              <w:rPr>
                <w:rFonts w:ascii="宋体" w:hAnsi="宋体" w:cs="宋体"/>
                <w:color w:val="auto"/>
                <w:sz w:val="22"/>
                <w:szCs w:val="22"/>
                <w:highlight w:val="none"/>
                <w:lang w:eastAsia="zh-CN"/>
              </w:rPr>
              <w:t xml:space="preserve">2</w:t>
            </w:r>
            <w:r>
              <w:rPr>
                <w:rFonts w:hint="eastAsia" w:ascii="宋体" w:hAnsi="宋体" w:cs="宋体"/>
                <w:color w:val="auto"/>
                <w:sz w:val="22"/>
                <w:szCs w:val="22"/>
                <w:highlight w:val="none"/>
                <w:lang w:eastAsia="zh-CN"/>
              </w:rPr>
              <w:t xml:space="preserve">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t xml:space="preserve">2</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2</w:t>
            </w:r>
            <w:r/>
          </w:p>
        </w:tc>
        <w:tc>
          <w:tcPr>
            <w:shd w:val="clear" w:color="auto" w:fill="auto"/>
            <w:tcBorders>
              <w:left w:val="none" w:color="000000" w:sz="4" w:space="0"/>
              <w:bottom w:val="single" w:color="auto" w:sz="4" w:space="0"/>
              <w:right w:val="single" w:color="auto" w:sz="4" w:space="0"/>
            </w:tcBorders>
            <w:tcW w:w="892" w:type="dxa"/>
            <w:vAlign w:val="center"/>
            <w:vMerge w:val="continue"/>
            <w:textDirection w:val="lrTb"/>
            <w:noWrap w:val="false"/>
          </w:tcPr>
          <w:p>
            <w:pPr>
              <w:pStyle w:val="1000"/>
              <w:ind w:left="0" w:firstLine="0"/>
              <w:jc w:val="center"/>
              <w:rPr>
                <w:rFonts w:ascii="宋体" w:hAnsi="宋体" w:cs="宋体"/>
                <w:color w:val="auto"/>
                <w:sz w:val="22"/>
                <w:szCs w:val="22"/>
                <w:highlight w:val="none"/>
                <w:lang w:eastAsia="zh-CN"/>
              </w:rPr>
            </w:pPr>
            <w:r>
              <w:rPr>
                <w:rFonts w:ascii="宋体" w:hAnsi="宋体" w:cs="宋体"/>
                <w:color w:val="auto"/>
                <w:sz w:val="22"/>
                <w:szCs w:val="22"/>
                <w:highlight w:val="none"/>
                <w:lang w:eastAsia="zh-CN"/>
              </w:rPr>
            </w:r>
            <w:r/>
          </w:p>
        </w:tc>
        <w:tc>
          <w:tcPr>
            <w:shd w:val="clear" w:color="auto" w:fill="auto"/>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spacing w:before="60" w:after="60"/>
              <w:rPr>
                <w:rFonts w:ascii="宋体" w:hAnsi="宋体" w:cs="宋体"/>
                <w:color w:val="auto"/>
                <w:highlight w:val="none"/>
                <w:lang w:eastAsia="zh-CN"/>
              </w:rPr>
            </w:pPr>
            <w:r>
              <w:rPr>
                <w:rFonts w:hint="eastAsia" w:ascii="宋体" w:hAnsi="宋体" w:cs="宋体"/>
                <w:color w:val="auto"/>
                <w:highlight w:val="none"/>
                <w:lang w:eastAsia="zh-CN"/>
              </w:rPr>
              <w:t xml:space="preserve">技术要求</w:t>
            </w:r>
            <w:r/>
          </w:p>
          <w:p>
            <w:pPr>
              <w:ind w:firstLine="0"/>
              <w:spacing w:before="60" w:after="60"/>
              <w:rPr>
                <w:rFonts w:ascii="宋体" w:hAnsi="宋体" w:cs="宋体"/>
                <w:color w:val="auto"/>
                <w:sz w:val="22"/>
                <w:szCs w:val="20"/>
                <w:highlight w:val="none"/>
                <w:lang w:eastAsia="zh-CN"/>
              </w:rPr>
            </w:pPr>
            <w:r>
              <w:rPr>
                <w:rFonts w:hint="eastAsia" w:ascii="宋体" w:hAnsi="宋体" w:cs="宋体"/>
                <w:color w:val="auto"/>
                <w:sz w:val="22"/>
                <w:szCs w:val="20"/>
                <w:highlight w:val="none"/>
                <w:lang w:eastAsia="zh-CN"/>
              </w:rPr>
              <w:t xml:space="preserve">工作温度：0°C 至 +40°C。</w:t>
            </w:r>
            <w:r/>
          </w:p>
          <w:p>
            <w:pPr>
              <w:ind w:firstLine="0"/>
              <w:spacing w:before="60" w:after="60"/>
              <w:rPr>
                <w:rFonts w:ascii="宋体" w:hAnsi="宋体" w:cs="宋体"/>
                <w:color w:val="auto"/>
                <w:sz w:val="22"/>
                <w:szCs w:val="20"/>
                <w:highlight w:val="none"/>
              </w:rPr>
            </w:pPr>
            <w:r>
              <w:rPr>
                <w:rFonts w:hint="eastAsia" w:ascii="宋体" w:hAnsi="宋体" w:cs="宋体"/>
                <w:color w:val="auto"/>
                <w:sz w:val="22"/>
                <w:szCs w:val="20"/>
                <w:highlight w:val="none"/>
              </w:rPr>
              <w:t xml:space="preserve">接口类型：输入：4-Terminal Pair BNC（连接仪器）；输出：7 mm同轴接口（连接夹具）。</w:t>
            </w:r>
            <w:r/>
          </w:p>
          <w:p>
            <w:pPr>
              <w:ind w:firstLine="0"/>
              <w:spacing w:before="60" w:after="60"/>
              <w:rPr>
                <w:rFonts w:ascii="宋体" w:hAnsi="宋体" w:cs="宋体"/>
                <w:color w:val="auto"/>
                <w:sz w:val="22"/>
                <w:szCs w:val="20"/>
                <w:highlight w:val="none"/>
              </w:rPr>
            </w:pPr>
            <w:r>
              <w:rPr>
                <w:rFonts w:hint="eastAsia" w:ascii="宋体" w:hAnsi="宋体" w:cs="宋体"/>
                <w:color w:val="auto"/>
                <w:sz w:val="22"/>
                <w:szCs w:val="20"/>
                <w:highlight w:val="none"/>
              </w:rPr>
              <w:t xml:space="preserve">尺寸：不大于190mm (W)</w:t>
            </w:r>
            <w:r>
              <w:rPr>
                <w:color w:val="auto"/>
                <w:sz w:val="22"/>
                <w:szCs w:val="20"/>
                <w:highlight w:val="none"/>
              </w:rPr>
              <w:t xml:space="preserve">×</w:t>
            </w:r>
            <w:r>
              <w:rPr>
                <w:rFonts w:hint="eastAsia" w:ascii="宋体" w:hAnsi="宋体" w:cs="宋体"/>
                <w:color w:val="auto"/>
                <w:sz w:val="22"/>
                <w:szCs w:val="20"/>
                <w:highlight w:val="none"/>
              </w:rPr>
              <w:t xml:space="preserve"> 55mm (H)</w:t>
            </w:r>
            <w:r>
              <w:rPr>
                <w:color w:val="auto"/>
                <w:sz w:val="22"/>
                <w:szCs w:val="20"/>
                <w:highlight w:val="none"/>
              </w:rPr>
              <w:t xml:space="preserve">×</w:t>
            </w:r>
            <w:r>
              <w:rPr>
                <w:rFonts w:hint="eastAsia" w:ascii="宋体" w:hAnsi="宋体" w:cs="宋体"/>
                <w:color w:val="auto"/>
                <w:sz w:val="22"/>
                <w:szCs w:val="20"/>
                <w:highlight w:val="none"/>
              </w:rPr>
              <w:t xml:space="preserve">140mm (D)</w:t>
            </w:r>
            <w:r/>
          </w:p>
          <w:p>
            <w:pPr>
              <w:ind w:firstLine="0"/>
              <w:spacing w:before="60" w:after="60"/>
              <w:rPr>
                <w:rFonts w:ascii="宋体" w:hAnsi="宋体" w:cs="宋体"/>
                <w:color w:val="auto"/>
                <w:sz w:val="22"/>
                <w:szCs w:val="22"/>
                <w:highlight w:val="none"/>
                <w:lang w:eastAsia="zh-CN"/>
              </w:rPr>
            </w:pPr>
            <w:r>
              <w:rPr>
                <w:rFonts w:hint="eastAsia" w:ascii="宋体" w:hAnsi="宋体" w:cs="宋体"/>
                <w:color w:val="auto"/>
                <w:sz w:val="22"/>
                <w:szCs w:val="20"/>
                <w:highlight w:val="none"/>
              </w:rPr>
              <w:t xml:space="preserve">重量不大于800g</w:t>
            </w:r>
            <w:r/>
          </w:p>
        </w:tc>
        <w:tc>
          <w:tcPr>
            <w:shd w:val="clear" w:color="auto" w:fill="auto"/>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符合得</w:t>
            </w:r>
            <w:r>
              <w:rPr>
                <w:rFonts w:hint="eastAsia" w:ascii="宋体" w:hAnsi="宋体" w:cs="宋体"/>
                <w:color w:val="auto"/>
                <w:sz w:val="22"/>
                <w:szCs w:val="22"/>
                <w:highlight w:val="none"/>
                <w:lang w:eastAsia="zh-CN"/>
              </w:rPr>
              <w:t xml:space="preserve">1</w:t>
            </w:r>
            <w:r>
              <w:rPr>
                <w:rFonts w:hint="eastAsia" w:ascii="宋体" w:hAnsi="宋体" w:cs="宋体"/>
                <w:color w:val="auto"/>
                <w:sz w:val="22"/>
                <w:szCs w:val="22"/>
                <w:highlight w:val="none"/>
              </w:rPr>
              <w:t xml:space="preserve">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p>
        </w:tc>
      </w:tr>
      <w:tr>
        <w:trPr>
          <w:jc w:val="center"/>
        </w:trPr>
        <w:tc>
          <w:tcPr>
            <w:tcBorders>
              <w:top w:val="single" w:color="auto" w:sz="4" w:space="0"/>
              <w:left w:val="single" w:color="auto" w:sz="4" w:space="0"/>
              <w:bottom w:val="single" w:color="auto" w:sz="4" w:space="0"/>
              <w:right w:val="single" w:color="auto" w:sz="4" w:space="0"/>
            </w:tcBorders>
            <w:tcW w:w="890"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rPr>
                <w:rFonts w:ascii="宋体" w:hAnsi="宋体" w:cs="宋体"/>
                <w:color w:val="auto"/>
                <w:sz w:val="22"/>
                <w:szCs w:val="22"/>
                <w:highlight w:val="none"/>
                <w:lang w:eastAsia="zh-CN"/>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892"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b/>
                <w:color w:val="auto"/>
                <w:highlight w:val="none"/>
              </w:rPr>
              <w:t xml:space="preserve">示波器</w:t>
            </w:r>
            <w:r/>
          </w:p>
        </w:tc>
        <w:tc>
          <w:tcPr>
            <w:shd w:val="clear" w:color="auto" w:fill="auto"/>
            <w:tcBorders>
              <w:top w:val="single" w:color="auto" w:sz="4" w:space="0"/>
              <w:left w:val="none" w:color="000000" w:sz="4" w:space="0"/>
              <w:bottom w:val="single" w:color="auto" w:sz="4" w:space="0"/>
              <w:right w:val="single" w:color="auto" w:sz="4" w:space="0"/>
            </w:tcBorders>
            <w:tcW w:w="5667" w:type="dxa"/>
            <w:vAlign w:val="center"/>
            <w:textDirection w:val="lrTb"/>
            <w:noWrap w:val="false"/>
          </w:tcPr>
          <w:p>
            <w:pPr>
              <w:ind w:firstLine="0"/>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功能要求</w:t>
            </w:r>
            <w:r/>
          </w:p>
          <w:p>
            <w:pPr>
              <w:ind w:firstLine="0"/>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具备标准分析功能：光标测量、频谱视图、FastFrame™绘图、搜索等。</w:t>
            </w:r>
            <w:r/>
          </w:p>
          <w:p>
            <w:pPr>
              <w:ind w:firstLine="0"/>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具备频率计数器触发功能。</w:t>
            </w:r>
            <w:r/>
          </w:p>
          <w:p>
            <w:pPr>
              <w:ind w:firstLine="0"/>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需标配探头：每个通道一只10M</w:t>
            </w:r>
            <w:r>
              <w:rPr>
                <w:rFonts w:hint="eastAsia" w:ascii="宋体" w:hAnsi="宋体" w:cs="宋体"/>
                <w:color w:val="auto"/>
                <w:sz w:val="22"/>
                <w:szCs w:val="22"/>
                <w:highlight w:val="none"/>
              </w:rPr>
              <w:t xml:space="preserve">Ω</w:t>
            </w:r>
            <w:r>
              <w:rPr>
                <w:rFonts w:hint="eastAsia" w:ascii="宋体" w:hAnsi="宋体" w:cs="宋体"/>
                <w:color w:val="auto"/>
                <w:sz w:val="22"/>
                <w:szCs w:val="22"/>
                <w:highlight w:val="none"/>
                <w:lang w:eastAsia="zh-CN"/>
              </w:rPr>
              <w:t xml:space="preserve">无源电压探头。</w:t>
            </w:r>
            <w:r/>
          </w:p>
          <w:p>
            <w:pPr>
              <w:ind w:firstLine="0"/>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数字电压表具备功能：4 位 AC RMS、DC 和 DC+AC RMS电压测量功能。</w:t>
            </w:r>
            <w:r/>
          </w:p>
          <w:p>
            <w:pPr>
              <w:ind w:firstLine="0"/>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显示器要求：不小于15.6 英寸TFT。</w:t>
            </w:r>
            <w:r/>
          </w:p>
        </w:tc>
        <w:tc>
          <w:tcPr>
            <w:shd w:val="clear" w:color="auto" w:fill="auto"/>
            <w:tcBorders>
              <w:top w:val="single" w:color="auto" w:sz="4" w:space="0"/>
              <w:left w:val="none" w:color="000000" w:sz="4" w:space="0"/>
              <w:bottom w:val="single" w:color="auto" w:sz="4" w:space="0"/>
              <w:right w:val="single" w:color="auto" w:sz="4" w:space="0"/>
            </w:tcBorders>
            <w:tcW w:w="1467" w:type="dxa"/>
            <w:vAlign w:val="center"/>
            <w:textDirection w:val="lrTb"/>
            <w:noWrap w:val="false"/>
          </w:tcPr>
          <w:p>
            <w:pPr>
              <w:ind w:firstLine="0"/>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符合得</w:t>
            </w:r>
            <w:r>
              <w:rPr>
                <w:rFonts w:hint="eastAsia" w:ascii="宋体" w:hAnsi="宋体" w:cs="宋体"/>
                <w:color w:val="auto"/>
                <w:sz w:val="22"/>
                <w:szCs w:val="22"/>
                <w:highlight w:val="none"/>
                <w:lang w:eastAsia="zh-CN"/>
              </w:rPr>
              <w:t xml:space="preserve">1</w:t>
            </w:r>
            <w:r>
              <w:rPr>
                <w:rFonts w:hint="eastAsia" w:ascii="宋体" w:hAnsi="宋体" w:cs="宋体"/>
                <w:color w:val="auto"/>
                <w:sz w:val="22"/>
                <w:szCs w:val="22"/>
                <w:highlight w:val="none"/>
              </w:rPr>
              <w:t xml:space="preserve">分，不符合不得分。</w:t>
            </w:r>
            <w:r/>
          </w:p>
        </w:tc>
        <w:tc>
          <w:tcPr>
            <w:tcBorders>
              <w:top w:val="single" w:color="auto" w:sz="4" w:space="0"/>
              <w:left w:val="none" w:color="000000" w:sz="4" w:space="0"/>
              <w:bottom w:val="single" w:color="auto" w:sz="4" w:space="0"/>
              <w:right w:val="single" w:color="auto" w:sz="4" w:space="0"/>
            </w:tcBorders>
            <w:tcW w:w="106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0</w:t>
            </w:r>
            <w:r/>
          </w:p>
        </w:tc>
        <w:tc>
          <w:tcPr>
            <w:tcBorders>
              <w:top w:val="single" w:color="auto" w:sz="4" w:space="0"/>
              <w:left w:val="none" w:color="000000" w:sz="4" w:space="0"/>
              <w:bottom w:val="single" w:color="auto" w:sz="4" w:space="0"/>
              <w:right w:val="single" w:color="auto" w:sz="4" w:space="0"/>
            </w:tcBorders>
            <w:tcW w:w="1053" w:type="dxa"/>
            <w:vAlign w:val="center"/>
            <w:textDirection w:val="lrTb"/>
            <w:noWrap w:val="false"/>
          </w:tcPr>
          <w:p>
            <w:pPr>
              <w:pStyle w:val="1000"/>
              <w:ind w:left="0" w:firstLine="0"/>
              <w:jc w:val="center"/>
              <w:rPr>
                <w:rFonts w:ascii="宋体" w:hAnsi="宋体" w:cs="宋体"/>
                <w:color w:val="auto"/>
                <w:sz w:val="22"/>
                <w:szCs w:val="22"/>
                <w:highlight w:val="none"/>
                <w:lang w:eastAsia="zh-CN"/>
              </w:rPr>
            </w:pPr>
            <w:r>
              <w:rPr>
                <w:rFonts w:hint="eastAsia" w:ascii="宋体" w:hAnsi="宋体" w:cs="宋体"/>
                <w:color w:val="auto"/>
                <w:sz w:val="22"/>
                <w:szCs w:val="22"/>
                <w:highlight w:val="none"/>
                <w:lang w:eastAsia="zh-CN"/>
              </w:rPr>
              <w:t xml:space="preserve">1</w:t>
            </w:r>
            <w:r/>
          </w:p>
        </w:tc>
      </w:tr>
    </w:tbl>
    <w:p>
      <w:pPr>
        <w:pStyle w:val="1000"/>
        <w:ind w:left="480" w:firstLine="480"/>
        <w:rPr>
          <w:color w:val="auto"/>
          <w:highlight w:val="none"/>
          <w:lang w:eastAsia="zh-CN"/>
        </w:rPr>
      </w:pPr>
      <w:r>
        <w:rPr>
          <w:color w:val="auto"/>
          <w:highlight w:val="none"/>
          <w:lang w:eastAsia="zh-CN"/>
        </w:rPr>
      </w:r>
      <w:r/>
    </w:p>
    <w:p>
      <w:pPr>
        <w:ind w:firstLine="482"/>
        <w:rPr>
          <w:rFonts w:ascii="宋体" w:hAnsi="宋体" w:cs="宋体"/>
          <w:b/>
          <w:color w:val="auto"/>
          <w:szCs w:val="24"/>
          <w:highlight w:val="none"/>
        </w:rPr>
      </w:pPr>
      <w:r>
        <w:rPr>
          <w:rFonts w:hint="eastAsia" w:ascii="宋体" w:hAnsi="宋体" w:cs="宋体"/>
          <w:b/>
          <w:color w:val="auto"/>
          <w:szCs w:val="24"/>
          <w:highlight w:val="none"/>
        </w:rPr>
        <w:t xml:space="preserve">（4）售后服务（</w:t>
      </w:r>
      <w:r>
        <w:rPr>
          <w:rFonts w:hint="eastAsia" w:ascii="宋体" w:hAnsi="宋体" w:cs="宋体"/>
          <w:b/>
          <w:color w:val="auto"/>
          <w:szCs w:val="24"/>
          <w:highlight w:val="none"/>
          <w:lang w:eastAsia="zh-CN"/>
        </w:rPr>
        <w:t xml:space="preserve">40</w:t>
      </w:r>
      <w:r>
        <w:rPr>
          <w:rFonts w:hint="eastAsia" w:ascii="宋体" w:hAnsi="宋体" w:cs="宋体"/>
          <w:b/>
          <w:color w:val="auto"/>
          <w:szCs w:val="24"/>
          <w:highlight w:val="none"/>
        </w:rPr>
        <w:t xml:space="preserve">分）</w:t>
      </w:r>
      <w:r/>
    </w:p>
    <w:p>
      <w:pPr>
        <w:ind w:firstLine="480"/>
        <w:rPr>
          <w:rFonts w:ascii="宋体" w:hAnsi="宋体" w:cs="宋体"/>
          <w:bCs/>
          <w:color w:val="auto"/>
          <w:szCs w:val="24"/>
          <w:highlight w:val="none"/>
        </w:rPr>
      </w:pPr>
      <w:r>
        <w:rPr>
          <w:rFonts w:hint="eastAsia" w:ascii="宋体" w:hAnsi="宋体" w:cs="宋体"/>
          <w:bCs/>
          <w:color w:val="auto"/>
          <w:szCs w:val="24"/>
          <w:highlight w:val="none"/>
        </w:rPr>
        <w:t xml:space="preserve">1）项目实施方案（</w:t>
      </w:r>
      <w:r>
        <w:rPr>
          <w:rFonts w:hint="eastAsia" w:ascii="宋体" w:hAnsi="宋体" w:cs="宋体"/>
          <w:bCs/>
          <w:color w:val="auto"/>
          <w:szCs w:val="24"/>
          <w:highlight w:val="none"/>
          <w:lang w:eastAsia="zh-CN"/>
        </w:rPr>
        <w:t xml:space="preserve">7</w:t>
      </w:r>
      <w:r>
        <w:rPr>
          <w:rFonts w:hint="eastAsia" w:ascii="宋体" w:hAnsi="宋体" w:cs="宋体"/>
          <w:bCs/>
          <w:color w:val="auto"/>
          <w:szCs w:val="24"/>
          <w:highlight w:val="none"/>
        </w:rPr>
        <w:t xml:space="preserve">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供货计划安排合理、科学，供货安装方案措施切实可行的得7分；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供货计划安排较合理、较科学，供货安装方案措施较切实可行的得5分；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供货计划安排一般，供货安装方案措施一般得3分；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无方案不得分。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2）所投产品质保方案（7分）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对所投产品免费质保期内及质保期外服务方案（包括但不限于响应时间、零部件更换维修等）科学合理、可行性强的得7分；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对所投产品免费质保期内及质保期外服务方案（包括但不限于响应时间、零部件更换维修等）较科学合理、可行性较强的得5分；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对所投产品免费质保期内及质保期外服务方案（包括但不限于响应时间、零部件更换维修等）科学合理性一般、可行性一般的得3分；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无方案不得分。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3）人员培训方案（7分）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包括培训方式、培训资料、培训内容等，方案内容完整，科学合理、有针对性、可操作性强，得7分；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方案内容较完整，科学合理、有针对性、可操作性较强，得5分；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方案内容一般，科学合理、有针对性、可操作性一般，得3分；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无方案不得分。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4）安装调试计划方案（7分）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包括安装调试计划、步骤、流程、时间安排等，方案内容完整，科学合理、有针对性、可操作性强，得7分；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方案内容较完整，科学合理、有针对性、可操作性较强，得5分；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方案内容一般，科学合理、有针对性、可操作性一般，得3分；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无方案不得分。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5）售后服务方案（6分）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包括完整的售后服务体系，健全的售后服务机构及服务团队，售后服务承诺等，方案内容完整，科学合理、有针对性、可操作性强，得6分；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方案内容较完整，科学合理、有针对性、可操作性较强，得4分；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方案内容一般，科学合理、有针对性、可操作性一般，得2分；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无方案不得分。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6）应急处理措施方案（6分）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应急处理措施方案内容完整，科学合理、有针对性、可操作性强，得6分；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方案内容较完整，科学合理、有针对性、可操作性较强，得4分；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方案内容一般，科学合理、有针对性、可操作性一般，得2分；</w:t>
      </w:r>
      <w:r/>
    </w:p>
    <w:p>
      <w:pPr>
        <w:ind w:firstLine="480"/>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无方案不得分。</w:t>
      </w:r>
      <w:r/>
    </w:p>
    <w:p>
      <w:pPr>
        <w:ind w:firstLine="482"/>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（5）国家政策导向（2分）</w:t>
      </w:r>
      <w:r/>
    </w:p>
    <w:p>
      <w:pPr>
        <w:ind w:firstLine="480"/>
        <w:rPr>
          <w:rFonts w:ascii="宋体" w:hAnsi="宋体" w:cs="宋体"/>
          <w:color w:val="auto"/>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4"/>
          <w:highlight w:val="none"/>
          <w:lang w:eastAsia="zh-CN"/>
        </w:rPr>
        <w:t xml:space="preserve">1）</w:t>
      </w:r>
      <w:r>
        <w:rPr>
          <w:rFonts w:hint="eastAsia" w:ascii="宋体" w:hAnsi="宋体" w:cs="宋体"/>
          <w:color w:val="auto"/>
          <w:szCs w:val="24"/>
          <w:highlight w:val="none"/>
          <w:lang w:eastAsia="zh-CN"/>
        </w:rPr>
        <w:t xml:space="preserve">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color w:val="auto"/>
          <w:szCs w:val="24"/>
          <w:highlight w:val="none"/>
          <w:lang w:eastAsia="zh-CN"/>
        </w:rPr>
        <w:t xml:space="preserve">2）</w:t>
      </w:r>
      <w:r>
        <w:rPr>
          <w:rFonts w:hint="eastAsia" w:ascii="宋体" w:hAnsi="宋体" w:cs="宋体"/>
          <w:color w:val="auto"/>
          <w:szCs w:val="24"/>
          <w:highlight w:val="none"/>
          <w:lang w:eastAsia="zh-CN"/>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both"/>
        <w:widowControl w:val="off"/>
        <w:rPr>
          <w:rFonts w:ascii="宋体" w:hAnsi="Times New Roman" w:cs="Times New Roman"/>
          <w:color w:val="auto"/>
          <w:szCs w:val="24"/>
          <w:highlight w:val="none"/>
          <w:lang w:eastAsia="zh-CN"/>
        </w:rPr>
      </w:pPr>
      <w:r>
        <w:rPr>
          <w:rFonts w:hint="eastAsia" w:ascii="宋体" w:hAnsi="宋体" w:cs="Times New Roman"/>
          <w:color w:val="auto"/>
          <w:szCs w:val="24"/>
          <w:highlight w:val="none"/>
          <w:lang w:eastAsia="zh-CN"/>
        </w:rPr>
        <w:t xml:space="preserve">未列入本评分细则的其他条件不作为评分内容。</w:t>
      </w:r>
      <w:r/>
    </w:p>
    <w:p>
      <w:pPr>
        <w:ind w:firstLine="480"/>
        <w:jc w:val="both"/>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480"/>
        <w:rPr>
          <w:color w:val="auto"/>
          <w:highlight w:val="none"/>
          <w:lang w:eastAsia="zh-CN"/>
        </w:rPr>
      </w:pPr>
      <w:r/>
      <w:bookmarkStart w:id="28" w:name="_Toc101981935"/>
      <w:r/>
      <w:bookmarkStart w:id="29" w:name="_Toc161316670"/>
      <w:r>
        <w:rPr>
          <w:rFonts w:hint="eastAsia"/>
          <w:color w:val="auto"/>
          <w:highlight w:val="none"/>
          <w:lang w:eastAsia="zh-CN"/>
        </w:rPr>
        <w:br w:type="page" w:clear="all"/>
      </w:r>
      <w:r/>
    </w:p>
    <w:p>
      <w:pPr>
        <w:pStyle w:val="992"/>
        <w:rPr>
          <w:color w:val="auto"/>
          <w:highlight w:val="none"/>
          <w:lang w:eastAsia="zh-CN"/>
        </w:rPr>
      </w:pPr>
      <w:r>
        <w:rPr>
          <w:rFonts w:hint="eastAsia"/>
          <w:color w:val="auto"/>
          <w:highlight w:val="none"/>
          <w:lang w:eastAsia="zh-CN"/>
        </w:rPr>
        <w:t xml:space="preserve">附件二：投标文件格式</w:t>
      </w:r>
      <w:bookmarkEnd w:id="28"/>
      <w:r/>
      <w:bookmarkEnd w:id="29"/>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spacing w:line="240" w:lineRule="auto"/>
        <w:widowControl w:val="off"/>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center"/>
        <w:spacing w:line="240" w:lineRule="auto"/>
        <w:widowControl w:val="off"/>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ascii="宋体" w:hAnsi="宋体" w:eastAsia="等线" w:cs="宋体"/>
          <w:b/>
          <w:bCs/>
          <w:color w:val="auto"/>
          <w:sz w:val="30"/>
          <w:szCs w:val="30"/>
          <w:highlight w:val="none"/>
          <w:u w:val="single"/>
          <w:lang w:eastAsia="zh-CN"/>
        </w:rPr>
      </w:pPr>
      <w:r>
        <w:rPr>
          <w:rFonts w:ascii="宋体" w:hAnsi="宋体" w:eastAsia="等线" w:cs="宋体"/>
          <w:b/>
          <w:bCs/>
          <w:color w:val="auto"/>
          <w:sz w:val="30"/>
          <w:szCs w:val="30"/>
          <w:highlight w:val="none"/>
          <w:u w:val="single"/>
          <w:lang w:eastAsia="zh-CN"/>
        </w:rPr>
      </w:r>
      <w:r/>
    </w:p>
    <w:p>
      <w:pPr>
        <w:ind w:firstLine="0"/>
        <w:jc w:val="both"/>
        <w:spacing w:line="240" w:lineRule="auto"/>
        <w:widowControl w:val="off"/>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shd w:val="nil" w:color="auto"/>
        <w:rPr>
          <w:rFonts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r>
      <w:r/>
    </w:p>
    <w:p>
      <w:pPr>
        <w:ind w:firstLine="0"/>
        <w:jc w:val="both"/>
        <w:spacing w:line="240" w:lineRule="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 xml:space="preserve">（一）投标函（格式）：</w:t>
      </w:r>
      <w:r/>
    </w:p>
    <w:p>
      <w:pPr>
        <w:ind w:firstLine="0"/>
        <w:jc w:val="center"/>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480"/>
        <w:jc w:val="both"/>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致：江苏华诚工程管理咨询有限公司</w:t>
      </w:r>
      <w:r/>
    </w:p>
    <w:p>
      <w:pPr>
        <w:ind w:firstLine="480"/>
        <w:jc w:val="both"/>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二、我们愿意提供江苏华诚工程管理咨询有限公司在招标文件中要求的文件、资料。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文件投标的有效期限为中标通知书发出之日起90天。</w:t>
      </w:r>
      <w:r/>
    </w:p>
    <w:p>
      <w:pPr>
        <w:ind w:firstLine="480"/>
        <w:jc w:val="both"/>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30" w:name="校园网系统报价和服务承诺表（格式）"/>
      <w:r/>
      <w:bookmarkEnd w:id="30"/>
      <w:r/>
      <w:bookmarkStart w:id="31" w:name="（报价人）法定代表人授权书（格式）"/>
      <w:r/>
      <w:bookmarkEnd w:id="31"/>
      <w:r/>
      <w:r/>
    </w:p>
    <w:p>
      <w:pPr>
        <w:ind w:firstLine="480"/>
        <w:jc w:val="both"/>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ascii="宋体" w:hAnsi="宋体" w:cs="宋体"/>
          <w:color w:val="auto"/>
          <w:szCs w:val="28"/>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rPr>
          <w:color w:val="auto"/>
          <w:highlight w:val="none"/>
          <w:lang w:eastAsia="zh-CN"/>
        </w:rPr>
      </w:pPr>
      <w:r>
        <w:rPr>
          <w:color w:val="auto"/>
          <w:highlight w:val="none"/>
          <w:lang w:eastAsia="zh-CN"/>
        </w:rPr>
      </w:r>
      <w:r/>
    </w:p>
    <w:p>
      <w:pPr>
        <w:shd w:val="nil" w:color="auto"/>
        <w:rPr>
          <w:rFonts w:ascii="宋体" w:hAnsi="宋体"/>
          <w:b/>
          <w:bCs/>
          <w:color w:val="auto"/>
          <w:highlight w:val="none"/>
          <w:lang w:eastAsia="zh-CN"/>
        </w:rPr>
      </w:pPr>
      <w:r>
        <w:rPr>
          <w:rFonts w:hint="eastAsia" w:ascii="宋体" w:hAnsi="宋体"/>
          <w:b/>
          <w:bCs/>
          <w:color w:val="auto"/>
          <w:sz w:val="30"/>
          <w:szCs w:val="30"/>
          <w:highlight w:val="none"/>
          <w:lang w:eastAsia="zh-CN"/>
        </w:rPr>
        <w:br w:type="page" w:clear="all"/>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spacing w:line="240" w:lineRule="auto"/>
        <w:widowControl w:val="off"/>
        <w:rPr>
          <w:rFonts w:ascii="宋体" w:hAnsi="宋体" w:cs="Times New Roman"/>
          <w:b/>
          <w:bCs/>
          <w:color w:val="auto"/>
          <w:highlight w:val="none"/>
          <w:lang w:eastAsia="zh-CN"/>
        </w:rPr>
      </w:pPr>
      <w:r>
        <w:rPr>
          <w:rFonts w:hint="eastAsia" w:ascii="宋体" w:hAnsi="宋体"/>
          <w:b/>
          <w:bCs/>
          <w:color w:val="auto"/>
          <w:szCs w:val="24"/>
          <w:highlight w:val="none"/>
          <w:lang w:eastAsia="zh-CN"/>
        </w:rPr>
      </w:r>
      <w:r>
        <w:rPr>
          <w:rFonts w:hint="eastAsia" w:ascii="宋体" w:hAnsi="宋体"/>
          <w:b/>
          <w:bCs/>
          <w:color w:val="auto"/>
          <w:szCs w:val="24"/>
          <w:highlight w:val="none"/>
          <w:lang w:eastAsia="zh-CN"/>
        </w:rPr>
      </w:r>
      <w:r/>
    </w:p>
    <w:p>
      <w:pPr>
        <w:ind w:firstLine="0"/>
        <w:jc w:val="center"/>
        <w:spacing w:line="240" w:lineRule="auto"/>
        <w:widowControl w:val="off"/>
        <w:rPr>
          <w:rFonts w:hint="eastAsia" w:ascii="宋体" w:hAnsi="宋体"/>
          <w:b/>
          <w:bCs/>
          <w:color w:val="auto"/>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ascii="宋体" w:hAnsi="宋体" w:cs="Times New Roman"/>
          <w:color w:val="auto"/>
          <w:highlight w:val="none"/>
          <w:lang w:eastAsia="zh-CN"/>
        </w:rPr>
      </w:pPr>
      <w:r>
        <w:rPr>
          <w:rFonts w:hint="eastAsia" w:ascii="宋体" w:hAnsi="宋体" w:cs="Times New Roman"/>
          <w:bCs/>
          <w:color w:val="auto"/>
          <w:szCs w:val="24"/>
          <w:highlight w:val="none"/>
          <w:lang w:eastAsia="zh-CN"/>
        </w:rPr>
      </w:r>
      <w:r>
        <w:rPr>
          <w:rFonts w:hint="eastAsia" w:ascii="宋体" w:hAnsi="宋体" w:cs="Times New Roman"/>
          <w:bCs/>
          <w:color w:val="auto"/>
          <w:szCs w:val="24"/>
          <w:highlight w:val="none"/>
          <w:lang w:eastAsia="zh-CN"/>
        </w:rPr>
      </w:r>
      <w:r/>
    </w:p>
    <w:p>
      <w:pPr>
        <w:ind w:firstLine="0"/>
        <w:jc w:val="center"/>
        <w:widowControl w:val="off"/>
        <w:rPr>
          <w:rFonts w:hint="eastAsia" w:ascii="宋体" w:hAnsi="宋体" w:cs="Times New Roman"/>
          <w:color w:val="auto"/>
          <w:highlight w:val="none"/>
          <w:lang w:eastAsia="zh-CN"/>
        </w:rPr>
      </w:pPr>
      <w:r>
        <w:rPr>
          <w:rFonts w:ascii="宋体" w:hAnsi="宋体" w:cs="Times New Roman"/>
          <w:bCs/>
          <w:color w:val="auto"/>
          <w:szCs w:val="24"/>
          <w:highlight w:val="none"/>
          <w:lang w:eastAsia="zh-CN"/>
        </w:rPr>
        <w:t xml:space="preserve">采购项目编号：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（采购人）    ：</w:t>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spacing w:line="240" w:lineRule="auto"/>
        <w:widowControl w:val="off"/>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spacing w:line="440" w:lineRule="exact"/>
        <w:tabs>
          <w:tab w:val="left" w:pos="360" w:leader="none"/>
          <w:tab w:val="left" w:pos="960" w:leader="none"/>
        </w:tabs>
        <w:rPr>
          <w:rFonts w:ascii="宋体" w:hAnsi="宋体" w:cs="宋体"/>
          <w:color w:val="auto"/>
          <w:szCs w:val="24"/>
          <w:highlight w:val="none"/>
          <w:lang w:eastAsia="zh-CN"/>
        </w:rPr>
      </w:pPr>
      <w:r>
        <w:rPr>
          <w:rFonts w:ascii="宋体" w:hAnsi="宋体" w:cs="宋体"/>
          <w:color w:val="auto"/>
          <w:szCs w:val="24"/>
          <w:highlight w:val="none"/>
          <w:lang w:eastAsia="zh-CN"/>
        </w:rPr>
      </w:r>
      <w:r/>
    </w:p>
    <w:p>
      <w:pPr>
        <w:shd w:val="nil" w:color="auto"/>
        <w:rPr>
          <w:rFonts w:ascii="宋体" w:hAnsi="宋体" w:cs="宋体"/>
          <w:color w:val="auto"/>
          <w:highlight w:val="none"/>
          <w:lang w:eastAsia="zh-CN"/>
        </w:rPr>
      </w:pPr>
      <w:r>
        <w:rPr>
          <w:rFonts w:ascii="宋体" w:hAnsi="宋体" w:cs="宋体"/>
          <w:color w:val="auto"/>
          <w:szCs w:val="24"/>
          <w:highlight w:val="none"/>
          <w:lang w:eastAsia="zh-CN"/>
        </w:rPr>
        <w:br w:type="page" w:clear="all"/>
      </w:r>
      <w:r>
        <w:rPr>
          <w:rFonts w:ascii="宋体" w:hAnsi="宋体" w:cs="宋体"/>
          <w:color w:val="auto"/>
          <w:szCs w:val="24"/>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center"/>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w:t>
      </w:r>
      <w:r/>
    </w:p>
    <w:p>
      <w:pPr>
        <w:ind w:firstLine="0"/>
        <w:jc w:val="center"/>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江苏华诚工程管理咨询有限公司：  </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被授权人签名：                  供应商名称（盖章）：</w:t>
      </w:r>
      <w:r/>
    </w:p>
    <w:p>
      <w:pPr>
        <w:ind w:firstLine="432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tbl>
      <w:tblPr>
        <w:tblStyle w:val="99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firstLine="0"/>
              <w:jc w:val="both"/>
              <w:spacing w:before="4"/>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before="4"/>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center"/>
              <w:spacing w:before="4"/>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法定代表人身份证复印件</w:t>
            </w:r>
            <w:r/>
          </w:p>
          <w:p>
            <w:pPr>
              <w:ind w:firstLine="0"/>
              <w:jc w:val="center"/>
              <w:spacing w:before="4"/>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正反面</w:t>
            </w:r>
            <w:r/>
          </w:p>
        </w:tc>
        <w:tc>
          <w:tcPr>
            <w:tcBorders>
              <w:top w:val="none" w:color="000000" w:sz="4" w:space="0"/>
              <w:bottom w:val="none" w:color="000000" w:sz="4" w:space="0"/>
            </w:tcBorders>
            <w:tcW w:w="720" w:type="dxa"/>
            <w:textDirection w:val="lrTb"/>
            <w:noWrap w:val="false"/>
          </w:tcPr>
          <w:p>
            <w:pPr>
              <w:ind w:firstLine="0"/>
              <w:rPr>
                <w:rFonts w:ascii="宋体" w:hAnsi="宋体" w:cs="宋体"/>
                <w:color w:val="auto"/>
                <w:szCs w:val="24"/>
                <w:highlight w:val="none"/>
                <w:lang w:eastAsia="zh-CN"/>
              </w:rPr>
            </w:pPr>
            <w:r>
              <w:rPr>
                <w:rFonts w:ascii="宋体" w:hAnsi="宋体" w:cs="宋体"/>
                <w:color w:val="auto"/>
                <w:szCs w:val="24"/>
                <w:highlight w:val="none"/>
                <w:lang w:eastAsia="zh-CN"/>
              </w:rPr>
            </w:r>
            <w:r/>
          </w:p>
        </w:tc>
        <w:tc>
          <w:tcPr>
            <w:tcW w:w="5040" w:type="dxa"/>
            <w:textDirection w:val="lrTb"/>
            <w:noWrap w:val="false"/>
          </w:tcPr>
          <w:p>
            <w:pPr>
              <w:ind w:firstLine="0"/>
              <w:jc w:val="both"/>
              <w:spacing w:before="4"/>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before="4"/>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center"/>
              <w:spacing w:before="4"/>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授权代表身份证复印件</w:t>
            </w:r>
            <w:r/>
          </w:p>
          <w:p>
            <w:pPr>
              <w:ind w:firstLine="0"/>
              <w:jc w:val="center"/>
              <w:spacing w:before="4"/>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正反面</w:t>
            </w:r>
            <w:r/>
          </w:p>
        </w:tc>
      </w:tr>
    </w:tbl>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480"/>
        <w:rPr>
          <w:color w:val="auto"/>
          <w:highlight w:val="none"/>
          <w:lang w:eastAsia="zh-CN"/>
        </w:rPr>
      </w:pPr>
      <w:r>
        <w:rPr>
          <w:color w:val="auto"/>
          <w:highlight w:val="none"/>
          <w:lang w:eastAsia="zh-CN"/>
        </w:rPr>
      </w:r>
      <w:r/>
    </w:p>
    <w:p>
      <w:pPr>
        <w:shd w:val="nil" w:color="auto"/>
        <w:rPr>
          <w:rFonts w:ascii="宋体" w:hAnsi="宋体" w:cs="宋体"/>
          <w:b/>
          <w:bCs/>
          <w:color w:val="auto"/>
          <w:sz w:val="30"/>
          <w:szCs w:val="30"/>
          <w:highlight w:val="none"/>
          <w:lang w:eastAsia="zh-CN"/>
        </w:rPr>
      </w:pPr>
      <w:r>
        <w:rPr>
          <w:rFonts w:hint="eastAsia" w:ascii="宋体" w:hAnsi="宋体" w:cs="宋体"/>
          <w:b/>
          <w:color w:val="auto"/>
          <w:sz w:val="30"/>
          <w:szCs w:val="30"/>
          <w:highlight w:val="none"/>
          <w:lang w:eastAsia="zh-CN"/>
        </w:rPr>
        <w:br w:type="page" w:clear="all"/>
      </w:r>
      <w:r>
        <w:rPr>
          <w:rFonts w:hint="eastAsia" w:ascii="宋体" w:hAnsi="宋体" w:cs="宋体"/>
          <w:b/>
          <w:color w:val="auto"/>
          <w:sz w:val="30"/>
          <w:szCs w:val="30"/>
          <w:highlight w:val="none"/>
          <w:lang w:eastAsia="zh-CN"/>
        </w:rPr>
      </w:r>
      <w:r/>
    </w:p>
    <w:p>
      <w:pPr>
        <w:ind w:firstLine="0"/>
        <w:spacing w:before="4"/>
        <w:rPr>
          <w:rFonts w:hint="eastAsia" w:ascii="宋体" w:hAnsi="宋体" w:cs="宋体"/>
          <w:b/>
          <w:bCs/>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我们若违反上述承诺，愿接收取消投标资格及其他任何形式的处理。</w:t>
      </w:r>
      <w:r/>
    </w:p>
    <w:p>
      <w:pPr>
        <w:ind w:firstLine="48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shd w:val="nil" w:color="auto"/>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spacing w:line="240" w:lineRule="auto"/>
        <w:widowControl w:val="off"/>
        <w:rPr>
          <w:rFonts w:ascii="等线" w:hAnsi="等线" w:eastAsia="等线"/>
          <w:color w:val="auto"/>
          <w:sz w:val="21"/>
          <w:highlight w:val="none"/>
          <w:lang w:eastAsia="zh-CN"/>
        </w:rPr>
      </w:pPr>
      <w:r/>
      <w:bookmarkStart w:id="32" w:name="_Toc25003"/>
      <w:r/>
      <w:bookmarkStart w:id="33" w:name="_Toc14537"/>
      <w:r/>
      <w:bookmarkStart w:id="34" w:name="_Toc26875"/>
      <w:r/>
      <w:bookmarkStart w:id="35" w:name="_Toc6740"/>
      <w:r>
        <w:rPr>
          <w:rFonts w:hint="eastAsia" w:ascii="黑体" w:hAnsi="黑体" w:eastAsia="黑体"/>
          <w:bCs/>
          <w:color w:val="auto"/>
          <w:sz w:val="28"/>
          <w:szCs w:val="28"/>
          <w:highlight w:val="none"/>
          <w:lang w:eastAsia="zh-CN"/>
        </w:rPr>
        <w:t xml:space="preserve">开标一览表</w:t>
      </w:r>
      <w:bookmarkEnd w:id="32"/>
      <w:r/>
      <w:bookmarkEnd w:id="33"/>
      <w:r/>
      <w:bookmarkEnd w:id="34"/>
      <w:r/>
      <w:bookmarkEnd w:id="35"/>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spacing w:line="240" w:lineRule="auto"/>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996"/>
        <w:tblW w:w="0" w:type="auto"/>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5"/>
        <w:gridCol w:w="6604"/>
      </w:tblGrid>
      <w:tr>
        <w:trPr>
          <w:cantSplit/>
          <w:trHeight w:val="1369"/>
        </w:trPr>
        <w:tc>
          <w:tcPr>
            <w:tcW w:w="2635" w:type="dxa"/>
            <w:vAlign w:val="center"/>
            <w:textDirection w:val="lrTb"/>
            <w:noWrap w:val="false"/>
          </w:tcPr>
          <w:p>
            <w:pPr>
              <w:pStyle w:val="999"/>
              <w:jc w:val="center"/>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6604" w:type="dxa"/>
            <w:vAlign w:val="center"/>
            <w:textDirection w:val="lrTb"/>
            <w:noWrap w:val="false"/>
          </w:tcPr>
          <w:p>
            <w:pPr>
              <w:ind w:firstLine="0"/>
              <w:jc w:val="center"/>
              <w:spacing w:line="300" w:lineRule="auto"/>
              <w:widowControl w:val="off"/>
              <w:rPr>
                <w:rFonts w:ascii="宋体" w:hAnsi="宋体" w:cs="宋体"/>
                <w:color w:val="auto"/>
                <w:highlight w:val="none"/>
                <w:lang w:eastAsia="zh-CN"/>
              </w:rPr>
            </w:pPr>
            <w:r>
              <w:rPr>
                <w:rFonts w:hint="eastAsia"/>
                <w:b/>
                <w:bCs/>
                <w:color w:val="auto"/>
                <w:highlight w:val="none"/>
                <w:lang w:eastAsia="zh-CN"/>
              </w:rPr>
              <w:t xml:space="preserve">一批多参数电学检测设备采购项目</w:t>
            </w:r>
            <w:r/>
          </w:p>
        </w:tc>
      </w:tr>
      <w:tr>
        <w:trPr>
          <w:cantSplit/>
          <w:trHeight w:val="1504"/>
        </w:trPr>
        <w:tc>
          <w:tcPr>
            <w:tcW w:w="2635" w:type="dxa"/>
            <w:vAlign w:val="center"/>
            <w:textDirection w:val="lrTb"/>
            <w:noWrap w:val="false"/>
          </w:tcPr>
          <w:p>
            <w:pPr>
              <w:pStyle w:val="999"/>
              <w:jc w:val="center"/>
              <w:spacing w:line="300" w:lineRule="auto"/>
              <w:rPr>
                <w:rFonts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项目总报价</w:t>
            </w:r>
            <w:r/>
          </w:p>
          <w:p>
            <w:pPr>
              <w:pStyle w:val="999"/>
              <w:jc w:val="center"/>
              <w:spacing w:line="300" w:lineRule="auto"/>
              <w:rPr>
                <w:rFonts w:ascii="宋体" w:hAnsi="宋体" w:eastAsia="宋体" w:cs="宋体"/>
                <w:bCs/>
                <w:color w:val="auto"/>
                <w:sz w:val="24"/>
                <w:highlight w:val="none"/>
                <w:lang w:eastAsia="zh-CN"/>
              </w:rPr>
            </w:pPr>
            <w:r>
              <w:rPr>
                <w:rFonts w:hint="eastAsia" w:ascii="宋体" w:hAnsi="宋体" w:eastAsia="宋体" w:cs="宋体"/>
                <w:color w:val="auto"/>
                <w:sz w:val="24"/>
                <w:highlight w:val="none"/>
                <w:lang w:eastAsia="zh-CN"/>
              </w:rPr>
              <w:t xml:space="preserve">（人民币）</w:t>
            </w:r>
            <w:r/>
          </w:p>
        </w:tc>
        <w:tc>
          <w:tcPr>
            <w:tcW w:w="6604" w:type="dxa"/>
            <w:vAlign w:val="center"/>
            <w:textDirection w:val="lrTb"/>
            <w:noWrap w:val="false"/>
          </w:tcPr>
          <w:p>
            <w:pPr>
              <w:pStyle w:val="999"/>
              <w:spacing w:line="30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ind w:firstLine="480"/>
              <w:rPr>
                <w:rFonts w:ascii="Tahoma" w:hAnsi="Tahoma"/>
                <w:color w:val="auto"/>
                <w:szCs w:val="24"/>
                <w:highlight w:val="none"/>
              </w:rPr>
            </w:pPr>
            <w:r>
              <w:rPr>
                <w:rFonts w:ascii="Tahoma" w:hAnsi="Tahoma"/>
                <w:color w:val="auto"/>
                <w:szCs w:val="24"/>
                <w:highlight w:val="none"/>
              </w:rPr>
            </w:r>
            <w:r/>
          </w:p>
          <w:p>
            <w:pPr>
              <w:pStyle w:val="999"/>
              <w:spacing w:line="300" w:lineRule="auto"/>
              <w:rPr>
                <w:rFonts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小写：                    </w:t>
            </w:r>
            <w:r/>
          </w:p>
        </w:tc>
      </w:tr>
      <w:tr>
        <w:trPr>
          <w:cantSplit/>
          <w:trHeight w:val="1165"/>
        </w:trPr>
        <w:tc>
          <w:tcPr>
            <w:tcW w:w="2635" w:type="dxa"/>
            <w:vAlign w:val="center"/>
            <w:textDirection w:val="lrTb"/>
            <w:noWrap w:val="false"/>
          </w:tcPr>
          <w:p>
            <w:pPr>
              <w:ind w:firstLine="0"/>
              <w:jc w:val="center"/>
              <w:spacing w:line="300" w:lineRule="auto"/>
              <w:rPr>
                <w:rFonts w:ascii="宋体" w:hAnsi="宋体" w:cs="宋体"/>
                <w:color w:val="auto"/>
                <w:szCs w:val="28"/>
                <w:highlight w:val="none"/>
              </w:rPr>
            </w:pPr>
            <w:r>
              <w:rPr>
                <w:rFonts w:hint="eastAsia" w:ascii="宋体" w:hAnsi="宋体" w:cs="宋体"/>
                <w:color w:val="auto"/>
                <w:szCs w:val="28"/>
                <w:highlight w:val="none"/>
              </w:rPr>
              <w:t xml:space="preserve">供货期</w:t>
            </w:r>
            <w:r/>
          </w:p>
        </w:tc>
        <w:tc>
          <w:tcPr>
            <w:tcW w:w="6604" w:type="dxa"/>
            <w:vAlign w:val="center"/>
            <w:textDirection w:val="lrTb"/>
            <w:noWrap w:val="false"/>
          </w:tcPr>
          <w:p>
            <w:pPr>
              <w:ind w:firstLine="480"/>
              <w:spacing w:line="300" w:lineRule="auto"/>
              <w:rPr>
                <w:rFonts w:ascii="宋体" w:hAnsi="宋体" w:cs="宋体"/>
                <w:color w:val="auto"/>
                <w:szCs w:val="28"/>
                <w:highlight w:val="none"/>
              </w:rPr>
            </w:pPr>
            <w:r>
              <w:rPr>
                <w:rFonts w:ascii="宋体" w:hAnsi="宋体" w:cs="宋体"/>
                <w:color w:val="auto"/>
                <w:szCs w:val="28"/>
                <w:highlight w:val="none"/>
              </w:rPr>
            </w:r>
            <w:r/>
          </w:p>
        </w:tc>
      </w:tr>
      <w:tr>
        <w:trPr>
          <w:cantSplit/>
          <w:trHeight w:val="1165"/>
        </w:trPr>
        <w:tc>
          <w:tcPr>
            <w:tcW w:w="2635" w:type="dxa"/>
            <w:vAlign w:val="center"/>
            <w:textDirection w:val="lrTb"/>
            <w:noWrap w:val="false"/>
          </w:tcPr>
          <w:p>
            <w:pPr>
              <w:ind w:firstLine="0"/>
              <w:jc w:val="center"/>
              <w:spacing w:line="300" w:lineRule="auto"/>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质保期</w:t>
            </w:r>
            <w:r/>
          </w:p>
        </w:tc>
        <w:tc>
          <w:tcPr>
            <w:tcW w:w="6604" w:type="dxa"/>
            <w:vAlign w:val="center"/>
            <w:textDirection w:val="lrTb"/>
            <w:noWrap w:val="false"/>
          </w:tcPr>
          <w:p>
            <w:pPr>
              <w:ind w:firstLine="480"/>
              <w:spacing w:line="300" w:lineRule="auto"/>
              <w:rPr>
                <w:rFonts w:ascii="宋体" w:hAnsi="宋体" w:cs="宋体"/>
                <w:color w:val="auto"/>
                <w:szCs w:val="28"/>
                <w:highlight w:val="none"/>
              </w:rPr>
            </w:pPr>
            <w:r>
              <w:rPr>
                <w:rFonts w:ascii="宋体" w:hAnsi="宋体" w:cs="宋体"/>
                <w:color w:val="auto"/>
                <w:szCs w:val="28"/>
                <w:highlight w:val="none"/>
              </w:rPr>
            </w:r>
            <w:r/>
          </w:p>
        </w:tc>
      </w:tr>
      <w:tr>
        <w:trPr>
          <w:cantSplit/>
          <w:trHeight w:val="1146"/>
        </w:trPr>
        <w:tc>
          <w:tcPr>
            <w:tcW w:w="2635" w:type="dxa"/>
            <w:vAlign w:val="center"/>
            <w:textDirection w:val="lrTb"/>
            <w:noWrap w:val="false"/>
          </w:tcPr>
          <w:p>
            <w:pPr>
              <w:ind w:firstLine="0"/>
              <w:jc w:val="center"/>
              <w:spacing w:line="300" w:lineRule="auto"/>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质量标准</w:t>
            </w:r>
            <w:r/>
          </w:p>
        </w:tc>
        <w:tc>
          <w:tcPr>
            <w:tcW w:w="6604" w:type="dxa"/>
            <w:vAlign w:val="center"/>
            <w:textDirection w:val="lrTb"/>
            <w:noWrap w:val="false"/>
          </w:tcPr>
          <w:p>
            <w:pPr>
              <w:ind w:firstLine="480"/>
              <w:spacing w:line="300" w:lineRule="auto"/>
              <w:rPr>
                <w:rFonts w:ascii="宋体" w:hAnsi="宋体" w:cs="宋体"/>
                <w:color w:val="auto"/>
                <w:szCs w:val="28"/>
                <w:highlight w:val="none"/>
              </w:rPr>
            </w:pPr>
            <w:r>
              <w:rPr>
                <w:rFonts w:ascii="宋体" w:hAnsi="宋体" w:cs="宋体"/>
                <w:color w:val="auto"/>
                <w:szCs w:val="28"/>
                <w:highlight w:val="none"/>
              </w:rPr>
            </w:r>
            <w:r/>
          </w:p>
        </w:tc>
      </w:tr>
    </w:tbl>
    <w:p>
      <w:pPr>
        <w:ind w:firstLine="0"/>
        <w:spacing w:before="326"/>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1.</w:t>
      </w:r>
      <w:r>
        <w:rPr>
          <w:rFonts w:ascii="宋体" w:hAnsi="宋体"/>
          <w:b/>
          <w:bCs/>
          <w:color w:val="auto"/>
          <w:szCs w:val="24"/>
          <w:highlight w:val="none"/>
          <w:lang w:eastAsia="zh-CN"/>
        </w:rPr>
        <w:t xml:space="preserve">报价一览表中的内容应与投标函内容一致，否则评标时一律按报价一览表中内容为准，报价一览表中必须盖章或签字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spacing w:line="240" w:lineRule="auto"/>
        <w:widowControl w:val="off"/>
        <w:tabs>
          <w:tab w:val="left" w:pos="1936" w:leader="none"/>
        </w:tabs>
        <w:rPr>
          <w:rFonts w:ascii="宋体" w:hAnsi="宋体"/>
          <w:b/>
          <w:bCs/>
          <w:color w:val="auto"/>
          <w:sz w:val="30"/>
          <w:szCs w:val="30"/>
          <w:highlight w:val="none"/>
          <w:lang w:eastAsia="zh-CN"/>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191" w:right="1134" w:bottom="1134" w:left="1134" w:header="851" w:footer="510" w:gutter="0"/>
          <w:cols w:num="1" w:sep="0" w:space="425" w:equalWidth="1"/>
          <w:docGrid w:linePitch="360"/>
        </w:sectPr>
      </w:pPr>
      <w:r>
        <w:rPr>
          <w:rFonts w:ascii="宋体" w:hAnsi="宋体"/>
          <w:b/>
          <w:bCs/>
          <w:color w:val="auto"/>
          <w:sz w:val="30"/>
          <w:szCs w:val="30"/>
          <w:highlight w:val="none"/>
          <w:lang w:eastAsia="zh-CN"/>
        </w:rPr>
      </w:r>
      <w:r/>
    </w:p>
    <w:p>
      <w:pPr>
        <w:ind w:firstLine="0"/>
        <w:jc w:val="both"/>
        <w:spacing w:line="240" w:lineRule="auto"/>
        <w:widowControl w:val="off"/>
        <w:tabs>
          <w:tab w:val="left" w:pos="1936" w:leader="none"/>
        </w:tabs>
        <w:rPr>
          <w:rFonts w:ascii="黑体" w:hAnsi="Times New Roman" w:eastAsia="黑体" w:cs="Times New Roman"/>
          <w:bCs/>
          <w:color w:val="auto"/>
          <w:sz w:val="36"/>
          <w:szCs w:val="36"/>
          <w:highlight w:val="none"/>
          <w:lang w:eastAsia="zh-CN"/>
        </w:rPr>
      </w:pPr>
      <w:r>
        <w:rPr>
          <w:rFonts w:hint="eastAsia" w:ascii="宋体" w:hAnsi="宋体"/>
          <w:b/>
          <w:bCs/>
          <w:color w:val="auto"/>
          <w:sz w:val="30"/>
          <w:szCs w:val="30"/>
          <w:highlight w:val="none"/>
          <w:lang w:eastAsia="zh-CN"/>
        </w:rPr>
        <w:t xml:space="preserve">（六）明细报价表（格式）：</w:t>
      </w:r>
      <w:bookmarkStart w:id="36" w:name="_Hlk104971923"/>
      <w:r/>
      <w:r/>
    </w:p>
    <w:p>
      <w:pPr>
        <w:ind w:firstLine="0"/>
        <w:jc w:val="center"/>
        <w:widowControl w:val="off"/>
        <w:rPr>
          <w:rFonts w:ascii="宋体" w:hAnsi="宋体" w:cs="宋体"/>
          <w:color w:val="auto"/>
          <w:szCs w:val="24"/>
          <w:highlight w:val="none"/>
          <w:lang w:eastAsia="zh-CN"/>
        </w:rPr>
      </w:pPr>
      <w:r>
        <w:rPr>
          <w:rFonts w:hint="eastAsia" w:ascii="宋体" w:hAnsi="宋体" w:cs="宋体"/>
          <w:b/>
          <w:bCs/>
          <w:color w:val="auto"/>
          <w:sz w:val="28"/>
          <w:szCs w:val="28"/>
          <w:highlight w:val="none"/>
          <w:lang w:eastAsia="zh-CN"/>
        </w:rPr>
        <w:t xml:space="preserve">明细报价表</w:t>
      </w:r>
      <w:r/>
    </w:p>
    <w:p>
      <w:pPr>
        <w:ind w:firstLine="0"/>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                                             </w:t>
      </w:r>
      <w:r/>
    </w:p>
    <w:tbl>
      <w:tblPr>
        <w:tblStyle w:val="996"/>
        <w:tblW w:w="513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56" w:type="dxa"/>
          <w:right w:w="96" w:type="dxa"/>
          <w:bottom w:w="56" w:type="dxa"/>
        </w:tblCellMar>
        <w:tblLook w:val="04A0" w:firstRow="1" w:lastRow="0" w:firstColumn="1" w:lastColumn="0" w:noHBand="0" w:noVBand="1"/>
      </w:tblPr>
      <w:tblGrid>
        <w:gridCol w:w="849"/>
        <w:gridCol w:w="2076"/>
        <w:gridCol w:w="1057"/>
        <w:gridCol w:w="1565"/>
        <w:gridCol w:w="850"/>
        <w:gridCol w:w="850"/>
        <w:gridCol w:w="1079"/>
        <w:gridCol w:w="1010"/>
      </w:tblGrid>
      <w:tr>
        <w:trPr>
          <w:jc w:val="center"/>
          <w:trHeight w:val="1342"/>
        </w:trPr>
        <w:tc>
          <w:tcPr>
            <w:tcBorders>
              <w:top w:val="single" w:color="auto" w:sz="12" w:space="0"/>
              <w:left w:val="single" w:color="auto" w:sz="12" w:space="0"/>
              <w:bottom w:val="single" w:color="auto" w:sz="4" w:space="0"/>
              <w:right w:val="single" w:color="auto" w:sz="4" w:space="0"/>
            </w:tcBorders>
            <w:tcW w:w="455" w:type="pct"/>
            <w:vAlign w:val="center"/>
            <w:textDirection w:val="lrTb"/>
            <w:noWrap w:val="false"/>
          </w:tcPr>
          <w:p>
            <w:pPr>
              <w:contextualSpacing/>
              <w:ind w:firstLine="0"/>
              <w:jc w:val="center"/>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序号</w:t>
            </w:r>
            <w:r/>
          </w:p>
        </w:tc>
        <w:tc>
          <w:tcPr>
            <w:tcBorders>
              <w:top w:val="single" w:color="auto" w:sz="12" w:space="0"/>
              <w:left w:val="single" w:color="auto" w:sz="4" w:space="0"/>
              <w:bottom w:val="single" w:color="auto" w:sz="4" w:space="0"/>
              <w:right w:val="single" w:color="auto" w:sz="4" w:space="0"/>
            </w:tcBorders>
            <w:tcW w:w="1112" w:type="pct"/>
            <w:vAlign w:val="center"/>
            <w:textDirection w:val="lrTb"/>
            <w:noWrap w:val="false"/>
          </w:tcPr>
          <w:p>
            <w:pPr>
              <w:contextualSpacing/>
              <w:ind w:firstLine="0"/>
              <w:jc w:val="center"/>
              <w:rPr>
                <w:rFonts w:ascii="宋体" w:hAnsi="宋体"/>
                <w:b/>
                <w:bCs/>
                <w:color w:val="auto"/>
                <w:szCs w:val="24"/>
                <w:highlight w:val="none"/>
              </w:rPr>
            </w:pPr>
            <w:r>
              <w:rPr>
                <w:rFonts w:hint="eastAsia" w:ascii="宋体" w:hAnsi="宋体"/>
                <w:b/>
                <w:bCs/>
                <w:color w:val="auto"/>
                <w:szCs w:val="24"/>
                <w:highlight w:val="none"/>
              </w:rPr>
              <w:t xml:space="preserve">标的物名称</w:t>
            </w:r>
            <w:r/>
          </w:p>
        </w:tc>
        <w:tc>
          <w:tcPr>
            <w:tcBorders>
              <w:top w:val="single" w:color="auto" w:sz="12" w:space="0"/>
              <w:left w:val="single" w:color="auto" w:sz="4" w:space="0"/>
              <w:bottom w:val="single" w:color="auto" w:sz="4" w:space="0"/>
              <w:right w:val="single" w:color="auto" w:sz="4" w:space="0"/>
            </w:tcBorders>
            <w:tcW w:w="566" w:type="pct"/>
            <w:vAlign w:val="center"/>
            <w:textDirection w:val="lrTb"/>
            <w:noWrap w:val="false"/>
          </w:tcPr>
          <w:p>
            <w:pPr>
              <w:contextualSpacing/>
              <w:ind w:firstLine="0"/>
              <w:jc w:val="center"/>
              <w:rPr>
                <w:rFonts w:ascii="宋体" w:hAnsi="宋体"/>
                <w:b/>
                <w:bCs/>
                <w:color w:val="auto"/>
                <w:szCs w:val="24"/>
                <w:highlight w:val="none"/>
              </w:rPr>
            </w:pPr>
            <w:r>
              <w:rPr>
                <w:rFonts w:hint="eastAsia" w:ascii="宋体" w:hAnsi="宋体"/>
                <w:b/>
                <w:bCs/>
                <w:color w:val="auto"/>
                <w:szCs w:val="24"/>
                <w:highlight w:val="none"/>
              </w:rPr>
              <w:t xml:space="preserve">品牌</w:t>
            </w:r>
            <w:r/>
          </w:p>
        </w:tc>
        <w:tc>
          <w:tcPr>
            <w:tcBorders>
              <w:top w:val="single" w:color="auto" w:sz="12" w:space="0"/>
              <w:left w:val="single" w:color="auto" w:sz="4" w:space="0"/>
              <w:bottom w:val="single" w:color="auto" w:sz="4" w:space="0"/>
              <w:right w:val="single" w:color="auto" w:sz="4" w:space="0"/>
            </w:tcBorders>
            <w:tcW w:w="838" w:type="pct"/>
            <w:vAlign w:val="center"/>
            <w:textDirection w:val="lrTb"/>
            <w:noWrap w:val="false"/>
          </w:tcPr>
          <w:p>
            <w:pPr>
              <w:contextualSpacing/>
              <w:ind w:firstLine="0"/>
              <w:jc w:val="center"/>
              <w:rPr>
                <w:rFonts w:ascii="宋体" w:hAnsi="宋体"/>
                <w:b/>
                <w:bCs/>
                <w:color w:val="auto"/>
                <w:szCs w:val="24"/>
                <w:highlight w:val="none"/>
              </w:rPr>
            </w:pPr>
            <w:r>
              <w:rPr>
                <w:rFonts w:hint="eastAsia" w:ascii="宋体" w:hAnsi="宋体"/>
                <w:b/>
                <w:bCs/>
                <w:color w:val="auto"/>
                <w:szCs w:val="24"/>
                <w:highlight w:val="none"/>
              </w:rPr>
              <w:t xml:space="preserve">型号、规格</w:t>
            </w:r>
            <w:r/>
          </w:p>
        </w:tc>
        <w:tc>
          <w:tcPr>
            <w:tcBorders>
              <w:top w:val="single" w:color="auto" w:sz="12" w:space="0"/>
              <w:left w:val="single" w:color="auto" w:sz="4" w:space="0"/>
              <w:bottom w:val="single" w:color="auto" w:sz="4" w:space="0"/>
              <w:right w:val="single" w:color="auto" w:sz="4" w:space="0"/>
            </w:tcBorders>
            <w:tcW w:w="455" w:type="pct"/>
            <w:vAlign w:val="center"/>
            <w:textDirection w:val="lrTb"/>
            <w:noWrap w:val="false"/>
          </w:tcPr>
          <w:p>
            <w:pPr>
              <w:contextualSpacing/>
              <w:ind w:firstLine="0"/>
              <w:jc w:val="center"/>
              <w:rPr>
                <w:rFonts w:ascii="宋体" w:hAnsi="宋体"/>
                <w:b/>
                <w:bCs/>
                <w:color w:val="auto"/>
                <w:szCs w:val="24"/>
                <w:highlight w:val="none"/>
              </w:rPr>
            </w:pPr>
            <w:r>
              <w:rPr>
                <w:rFonts w:hint="eastAsia" w:ascii="宋体" w:hAnsi="宋体"/>
                <w:b/>
                <w:bCs/>
                <w:color w:val="auto"/>
                <w:szCs w:val="24"/>
                <w:highlight w:val="none"/>
              </w:rPr>
              <w:t xml:space="preserve">单位</w:t>
            </w:r>
            <w:r/>
          </w:p>
        </w:tc>
        <w:tc>
          <w:tcPr>
            <w:tcBorders>
              <w:top w:val="single" w:color="auto" w:sz="12" w:space="0"/>
              <w:left w:val="single" w:color="auto" w:sz="4" w:space="0"/>
              <w:bottom w:val="single" w:color="auto" w:sz="4" w:space="0"/>
              <w:right w:val="single" w:color="auto" w:sz="4" w:space="0"/>
            </w:tcBorders>
            <w:tcW w:w="455" w:type="pct"/>
            <w:vAlign w:val="center"/>
            <w:textDirection w:val="lrTb"/>
            <w:noWrap w:val="false"/>
          </w:tcPr>
          <w:p>
            <w:pPr>
              <w:contextualSpacing/>
              <w:ind w:firstLine="0"/>
              <w:jc w:val="center"/>
              <w:rPr>
                <w:rFonts w:ascii="宋体" w:hAnsi="宋体"/>
                <w:b/>
                <w:bCs/>
                <w:color w:val="auto"/>
                <w:szCs w:val="24"/>
                <w:highlight w:val="none"/>
              </w:rPr>
            </w:pPr>
            <w:r>
              <w:rPr>
                <w:rFonts w:hint="eastAsia" w:ascii="宋体" w:hAnsi="宋体"/>
                <w:b/>
                <w:bCs/>
                <w:color w:val="auto"/>
                <w:szCs w:val="24"/>
                <w:highlight w:val="none"/>
              </w:rPr>
              <w:t xml:space="preserve">数量</w:t>
            </w:r>
            <w:r/>
          </w:p>
        </w:tc>
        <w:tc>
          <w:tcPr>
            <w:tcBorders>
              <w:top w:val="single" w:color="auto" w:sz="12" w:space="0"/>
              <w:left w:val="single" w:color="auto" w:sz="4" w:space="0"/>
              <w:bottom w:val="single" w:color="auto" w:sz="4" w:space="0"/>
              <w:right w:val="single" w:color="auto" w:sz="4" w:space="0"/>
            </w:tcBorders>
            <w:tcW w:w="578" w:type="pct"/>
            <w:vAlign w:val="center"/>
            <w:textDirection w:val="lrTb"/>
            <w:noWrap w:val="false"/>
          </w:tcPr>
          <w:p>
            <w:pPr>
              <w:contextualSpacing/>
              <w:ind w:firstLine="0"/>
              <w:jc w:val="center"/>
              <w:rPr>
                <w:rFonts w:ascii="宋体" w:hAnsi="宋体"/>
                <w:b/>
                <w:bCs/>
                <w:color w:val="auto"/>
                <w:szCs w:val="24"/>
                <w:highlight w:val="none"/>
              </w:rPr>
            </w:pPr>
            <w:r>
              <w:rPr>
                <w:rFonts w:hint="eastAsia" w:ascii="宋体" w:hAnsi="宋体"/>
                <w:b/>
                <w:bCs/>
                <w:color w:val="auto"/>
                <w:szCs w:val="24"/>
                <w:highlight w:val="none"/>
              </w:rPr>
              <w:t xml:space="preserve">单价</w:t>
            </w:r>
            <w:r/>
          </w:p>
          <w:p>
            <w:pPr>
              <w:pStyle w:val="994"/>
              <w:jc w:val="center"/>
              <w:rPr>
                <w:rFonts w:ascii="宋体" w:hAnsi="宋体" w:eastAsia="Times New Roman"/>
                <w:color w:val="auto"/>
                <w:sz w:val="24"/>
                <w:szCs w:val="24"/>
                <w:highlight w:val="none"/>
              </w:rPr>
            </w:pPr>
            <w:r>
              <w:rPr>
                <w:rFonts w:hint="eastAsia" w:ascii="宋体" w:hAnsi="宋体" w:eastAsia="Times New Roman"/>
                <w:color w:val="auto"/>
                <w:sz w:val="24"/>
                <w:szCs w:val="24"/>
                <w:highlight w:val="none"/>
              </w:rPr>
              <w:t xml:space="preserve">（元）</w:t>
            </w:r>
            <w:r/>
          </w:p>
        </w:tc>
        <w:tc>
          <w:tcPr>
            <w:tcBorders>
              <w:top w:val="single" w:color="auto" w:sz="12" w:space="0"/>
              <w:left w:val="single" w:color="auto" w:sz="4" w:space="0"/>
              <w:bottom w:val="single" w:color="auto" w:sz="4" w:space="0"/>
              <w:right w:val="single" w:color="auto" w:sz="12" w:space="0"/>
            </w:tcBorders>
            <w:tcW w:w="536" w:type="pct"/>
            <w:vAlign w:val="center"/>
            <w:textDirection w:val="lrTb"/>
            <w:noWrap w:val="false"/>
          </w:tcPr>
          <w:p>
            <w:pPr>
              <w:contextualSpacing/>
              <w:ind w:firstLine="0"/>
              <w:jc w:val="center"/>
              <w:rPr>
                <w:rFonts w:ascii="宋体" w:hAnsi="宋体"/>
                <w:b/>
                <w:bCs/>
                <w:color w:val="auto"/>
                <w:szCs w:val="24"/>
                <w:highlight w:val="none"/>
              </w:rPr>
            </w:pPr>
            <w:r>
              <w:rPr>
                <w:rFonts w:hint="eastAsia" w:ascii="宋体" w:hAnsi="宋体"/>
                <w:b/>
                <w:bCs/>
                <w:color w:val="auto"/>
                <w:szCs w:val="24"/>
                <w:highlight w:val="none"/>
              </w:rPr>
              <w:t xml:space="preserve">总价</w:t>
            </w:r>
            <w:r/>
          </w:p>
          <w:p>
            <w:pPr>
              <w:pStyle w:val="994"/>
              <w:jc w:val="center"/>
              <w:rPr>
                <w:rFonts w:ascii="宋体" w:hAnsi="宋体" w:eastAsia="Times New Roman"/>
                <w:color w:val="auto"/>
                <w:sz w:val="24"/>
                <w:szCs w:val="24"/>
                <w:highlight w:val="none"/>
              </w:rPr>
            </w:pPr>
            <w:r>
              <w:rPr>
                <w:rFonts w:hint="eastAsia" w:ascii="宋体" w:hAnsi="宋体" w:eastAsia="Times New Roman"/>
                <w:color w:val="auto"/>
                <w:sz w:val="24"/>
                <w:szCs w:val="24"/>
                <w:highlight w:val="none"/>
              </w:rPr>
              <w:t xml:space="preserve">（元）</w:t>
            </w:r>
            <w:r/>
          </w:p>
        </w:tc>
      </w:tr>
      <w:tr>
        <w:trPr>
          <w:jc w:val="center"/>
          <w:trHeight w:val="660"/>
        </w:trPr>
        <w:tc>
          <w:tcPr>
            <w:tcBorders>
              <w:top w:val="single" w:color="auto" w:sz="4" w:space="0"/>
              <w:left w:val="single" w:color="auto" w:sz="12" w:space="0"/>
              <w:bottom w:val="single" w:color="auto" w:sz="4" w:space="0"/>
              <w:right w:val="single" w:color="auto" w:sz="4" w:space="0"/>
            </w:tcBorders>
            <w:tcW w:w="455" w:type="pct"/>
            <w:vAlign w:val="center"/>
            <w:textDirection w:val="lrTb"/>
            <w:noWrap w:val="false"/>
          </w:tcPr>
          <w:p>
            <w:pPr>
              <w:ind w:firstLine="0"/>
              <w:jc w:val="center"/>
              <w:spacing w:line="400" w:lineRule="exact"/>
              <w:rPr>
                <w:rFonts w:ascii="宋体" w:hAnsi="宋体"/>
                <w:color w:val="auto"/>
                <w:szCs w:val="24"/>
                <w:highlight w:val="none"/>
              </w:rPr>
            </w:pPr>
            <w:r>
              <w:rPr>
                <w:rFonts w:hint="eastAsia" w:ascii="宋体" w:hAnsi="宋体"/>
                <w:color w:val="auto"/>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firstLine="0"/>
              <w:jc w:val="center"/>
              <w:rPr>
                <w:rFonts w:ascii="宋体" w:hAnsi="宋体"/>
                <w:color w:val="auto"/>
                <w:highlight w:val="none"/>
                <w:lang w:eastAsia="zh-CN"/>
              </w:rPr>
            </w:pPr>
            <w:r>
              <w:rPr>
                <w:rFonts w:hint="eastAsia" w:ascii="宋体" w:hAnsi="宋体"/>
                <w:b/>
                <w:color w:val="auto"/>
                <w:highlight w:val="none"/>
              </w:rPr>
              <w:t xml:space="preserve">电离室巡检仪</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12" w:space="0"/>
            </w:tcBorders>
            <w:tcW w:w="53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r>
      <w:tr>
        <w:trPr>
          <w:jc w:val="center"/>
          <w:trHeight w:val="660"/>
        </w:trPr>
        <w:tc>
          <w:tcPr>
            <w:tcBorders>
              <w:top w:val="single" w:color="auto" w:sz="4" w:space="0"/>
              <w:left w:val="single" w:color="auto" w:sz="12" w:space="0"/>
              <w:bottom w:val="single" w:color="auto" w:sz="4" w:space="0"/>
              <w:right w:val="single" w:color="auto" w:sz="4" w:space="0"/>
            </w:tcBorders>
            <w:tcW w:w="455" w:type="pct"/>
            <w:vAlign w:val="center"/>
            <w:textDirection w:val="lrTb"/>
            <w:noWrap w:val="false"/>
          </w:tcPr>
          <w:p>
            <w:pPr>
              <w:ind w:firstLine="0"/>
              <w:jc w:val="center"/>
              <w:spacing w:line="400" w:lineRule="exact"/>
              <w:rPr>
                <w:rFonts w:ascii="宋体" w:hAnsi="宋体"/>
                <w:color w:val="auto"/>
                <w:szCs w:val="24"/>
                <w:highlight w:val="none"/>
                <w:lang w:eastAsia="zh-CN"/>
              </w:rPr>
            </w:pPr>
            <w:r>
              <w:rPr>
                <w:rFonts w:hint="eastAsia" w:ascii="宋体" w:hAnsi="宋体"/>
                <w:color w:val="auto"/>
                <w:szCs w:val="24"/>
                <w:highlight w:val="none"/>
                <w:lang w:eastAsia="zh-CN"/>
              </w:rPr>
              <w:t xml:space="preserve">2</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firstLine="0"/>
              <w:jc w:val="center"/>
              <w:rPr>
                <w:rFonts w:ascii="宋体" w:hAnsi="宋体"/>
                <w:b/>
                <w:color w:val="auto"/>
                <w:highlight w:val="none"/>
              </w:rPr>
            </w:pPr>
            <w:r>
              <w:rPr>
                <w:rFonts w:hint="eastAsia" w:ascii="宋体" w:hAnsi="宋体"/>
                <w:b/>
                <w:color w:val="auto"/>
                <w:highlight w:val="none"/>
              </w:rPr>
              <w:t xml:space="preserve">高斯计</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12" w:space="0"/>
            </w:tcBorders>
            <w:tcW w:w="53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r>
      <w:tr>
        <w:trPr>
          <w:jc w:val="center"/>
          <w:trHeight w:val="660"/>
        </w:trPr>
        <w:tc>
          <w:tcPr>
            <w:tcBorders>
              <w:top w:val="single" w:color="auto" w:sz="4" w:space="0"/>
              <w:left w:val="single" w:color="auto" w:sz="12" w:space="0"/>
              <w:bottom w:val="single" w:color="auto" w:sz="4" w:space="0"/>
              <w:right w:val="single" w:color="auto" w:sz="4" w:space="0"/>
            </w:tcBorders>
            <w:tcW w:w="455" w:type="pct"/>
            <w:vAlign w:val="center"/>
            <w:textDirection w:val="lrTb"/>
            <w:noWrap w:val="false"/>
          </w:tcPr>
          <w:p>
            <w:pPr>
              <w:ind w:firstLine="0"/>
              <w:jc w:val="center"/>
              <w:spacing w:line="400" w:lineRule="exact"/>
              <w:rPr>
                <w:rFonts w:ascii="宋体" w:hAnsi="宋体"/>
                <w:color w:val="auto"/>
                <w:szCs w:val="24"/>
                <w:highlight w:val="none"/>
                <w:lang w:eastAsia="zh-CN"/>
              </w:rPr>
            </w:pPr>
            <w:r>
              <w:rPr>
                <w:rFonts w:hint="eastAsia" w:ascii="宋体" w:hAnsi="宋体"/>
                <w:color w:val="auto"/>
                <w:szCs w:val="24"/>
                <w:highlight w:val="none"/>
                <w:lang w:eastAsia="zh-CN"/>
              </w:rPr>
              <w:t xml:space="preserve">3</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firstLine="0"/>
              <w:jc w:val="center"/>
              <w:rPr>
                <w:rFonts w:ascii="宋体" w:hAnsi="宋体"/>
                <w:b/>
                <w:color w:val="auto"/>
                <w:highlight w:val="none"/>
              </w:rPr>
            </w:pPr>
            <w:r>
              <w:rPr>
                <w:rFonts w:hint="eastAsia" w:ascii="宋体" w:hAnsi="宋体"/>
                <w:b/>
                <w:color w:val="auto"/>
                <w:highlight w:val="none"/>
              </w:rPr>
              <w:t xml:space="preserve">阻抗探头</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12" w:space="0"/>
            </w:tcBorders>
            <w:tcW w:w="53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r>
      <w:tr>
        <w:trPr>
          <w:jc w:val="center"/>
          <w:trHeight w:val="660"/>
        </w:trPr>
        <w:tc>
          <w:tcPr>
            <w:tcBorders>
              <w:top w:val="single" w:color="auto" w:sz="4" w:space="0"/>
              <w:left w:val="single" w:color="auto" w:sz="12" w:space="0"/>
              <w:bottom w:val="single" w:color="auto" w:sz="4" w:space="0"/>
              <w:right w:val="single" w:color="auto" w:sz="4" w:space="0"/>
            </w:tcBorders>
            <w:tcW w:w="455" w:type="pct"/>
            <w:vAlign w:val="center"/>
            <w:textDirection w:val="lrTb"/>
            <w:noWrap w:val="false"/>
          </w:tcPr>
          <w:p>
            <w:pPr>
              <w:ind w:firstLine="0"/>
              <w:jc w:val="center"/>
              <w:spacing w:line="400" w:lineRule="exact"/>
              <w:rPr>
                <w:rFonts w:ascii="宋体" w:hAnsi="宋体"/>
                <w:color w:val="auto"/>
                <w:szCs w:val="24"/>
                <w:highlight w:val="none"/>
                <w:lang w:eastAsia="zh-CN"/>
              </w:rPr>
            </w:pPr>
            <w:r>
              <w:rPr>
                <w:rFonts w:hint="eastAsia" w:ascii="宋体" w:hAnsi="宋体"/>
                <w:color w:val="auto"/>
                <w:szCs w:val="24"/>
                <w:highlight w:val="none"/>
                <w:lang w:eastAsia="zh-CN"/>
              </w:rPr>
              <w:t xml:space="preserve">4</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firstLine="0"/>
              <w:jc w:val="center"/>
              <w:rPr>
                <w:rFonts w:ascii="宋体" w:hAnsi="宋体"/>
                <w:b/>
                <w:color w:val="auto"/>
                <w:highlight w:val="none"/>
              </w:rPr>
            </w:pPr>
            <w:r>
              <w:rPr>
                <w:rFonts w:hint="eastAsia" w:ascii="宋体" w:hAnsi="宋体"/>
                <w:b/>
                <w:color w:val="auto"/>
                <w:highlight w:val="none"/>
              </w:rPr>
              <w:t xml:space="preserve">端子适配器</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12" w:space="0"/>
            </w:tcBorders>
            <w:tcW w:w="53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r>
      <w:tr>
        <w:trPr>
          <w:jc w:val="center"/>
          <w:trHeight w:val="660"/>
        </w:trPr>
        <w:tc>
          <w:tcPr>
            <w:tcBorders>
              <w:top w:val="single" w:color="auto" w:sz="4" w:space="0"/>
              <w:left w:val="single" w:color="auto" w:sz="12" w:space="0"/>
              <w:bottom w:val="single" w:color="auto" w:sz="4" w:space="0"/>
              <w:right w:val="single" w:color="auto" w:sz="4" w:space="0"/>
            </w:tcBorders>
            <w:tcW w:w="455" w:type="pct"/>
            <w:vAlign w:val="center"/>
            <w:textDirection w:val="lrTb"/>
            <w:noWrap w:val="false"/>
          </w:tcPr>
          <w:p>
            <w:pPr>
              <w:ind w:firstLine="0"/>
              <w:jc w:val="center"/>
              <w:spacing w:line="400" w:lineRule="exact"/>
              <w:rPr>
                <w:rFonts w:ascii="宋体" w:hAnsi="宋体"/>
                <w:color w:val="auto"/>
                <w:szCs w:val="24"/>
                <w:highlight w:val="none"/>
                <w:lang w:eastAsia="zh-CN"/>
              </w:rPr>
            </w:pPr>
            <w:r>
              <w:rPr>
                <w:rFonts w:hint="eastAsia" w:ascii="宋体" w:hAnsi="宋体"/>
                <w:color w:val="auto"/>
                <w:szCs w:val="24"/>
                <w:highlight w:val="none"/>
                <w:lang w:eastAsia="zh-CN"/>
              </w:rPr>
              <w:t xml:space="preserve">5</w:t>
            </w:r>
            <w:r/>
          </w:p>
        </w:tc>
        <w:tc>
          <w:tcPr>
            <w:tcBorders>
              <w:top w:val="single" w:color="auto" w:sz="4" w:space="0"/>
              <w:left w:val="single" w:color="auto" w:sz="4" w:space="0"/>
              <w:bottom w:val="single" w:color="auto" w:sz="4" w:space="0"/>
              <w:right w:val="single" w:color="auto" w:sz="4" w:space="0"/>
            </w:tcBorders>
            <w:tcW w:w="1112" w:type="pct"/>
            <w:vAlign w:val="center"/>
            <w:textDirection w:val="lrTb"/>
            <w:noWrap w:val="false"/>
          </w:tcPr>
          <w:p>
            <w:pPr>
              <w:ind w:firstLine="0"/>
              <w:jc w:val="center"/>
              <w:rPr>
                <w:rFonts w:ascii="宋体" w:hAnsi="宋体"/>
                <w:b/>
                <w:color w:val="auto"/>
                <w:highlight w:val="none"/>
              </w:rPr>
            </w:pPr>
            <w:r>
              <w:rPr>
                <w:rFonts w:hint="eastAsia" w:ascii="宋体" w:hAnsi="宋体"/>
                <w:b/>
                <w:color w:val="auto"/>
                <w:highlight w:val="none"/>
              </w:rPr>
              <w:t xml:space="preserve">示波器</w:t>
            </w:r>
            <w:r/>
          </w:p>
        </w:tc>
        <w:tc>
          <w:tcPr>
            <w:tcBorders>
              <w:top w:val="single" w:color="auto" w:sz="4" w:space="0"/>
              <w:left w:val="single" w:color="auto" w:sz="4" w:space="0"/>
              <w:bottom w:val="single" w:color="auto" w:sz="4" w:space="0"/>
              <w:right w:val="single" w:color="auto" w:sz="4" w:space="0"/>
            </w:tcBorders>
            <w:tcW w:w="56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83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455"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4" w:space="0"/>
            </w:tcBorders>
            <w:tcW w:w="578"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c>
          <w:tcPr>
            <w:tcBorders>
              <w:top w:val="single" w:color="auto" w:sz="4" w:space="0"/>
              <w:left w:val="single" w:color="auto" w:sz="4" w:space="0"/>
              <w:bottom w:val="single" w:color="auto" w:sz="4" w:space="0"/>
              <w:right w:val="single" w:color="auto" w:sz="12" w:space="0"/>
            </w:tcBorders>
            <w:tcW w:w="536" w:type="pct"/>
            <w:vAlign w:val="center"/>
            <w:textDirection w:val="lrTb"/>
            <w:noWrap w:val="false"/>
          </w:tcPr>
          <w:p>
            <w:pPr>
              <w:ind w:firstLine="480"/>
              <w:jc w:val="center"/>
              <w:spacing w:line="400" w:lineRule="exact"/>
              <w:rPr>
                <w:rFonts w:ascii="宋体" w:hAnsi="宋体"/>
                <w:color w:val="auto"/>
                <w:szCs w:val="24"/>
                <w:highlight w:val="none"/>
                <w:lang w:eastAsia="zh-CN"/>
              </w:rPr>
            </w:pPr>
            <w:r>
              <w:rPr>
                <w:rFonts w:ascii="宋体" w:hAnsi="宋体"/>
                <w:color w:val="auto"/>
                <w:szCs w:val="24"/>
                <w:highlight w:val="none"/>
                <w:lang w:eastAsia="zh-CN"/>
              </w:rPr>
            </w:r>
            <w:r/>
          </w:p>
        </w:tc>
      </w:tr>
      <w:tr>
        <w:trPr>
          <w:jc w:val="center"/>
          <w:trHeight w:val="1860"/>
        </w:trPr>
        <w:tc>
          <w:tcPr>
            <w:gridSpan w:val="8"/>
            <w:tcBorders>
              <w:top w:val="single" w:color="auto" w:sz="4" w:space="0"/>
              <w:left w:val="single" w:color="auto" w:sz="12" w:space="0"/>
              <w:bottom w:val="single" w:color="auto" w:sz="4" w:space="0"/>
              <w:right w:val="single" w:color="auto" w:sz="12" w:space="0"/>
            </w:tcBorders>
            <w:tcW w:w="5000" w:type="pct"/>
            <w:vAlign w:val="center"/>
            <w:textDirection w:val="lrTb"/>
            <w:noWrap w:val="false"/>
          </w:tcPr>
          <w:p>
            <w:pPr>
              <w:ind w:firstLine="960"/>
              <w:jc w:val="both"/>
              <w:spacing w:line="400" w:lineRule="exact"/>
              <w:rPr>
                <w:rFonts w:ascii="宋体" w:hAnsi="宋体" w:cs="宋体"/>
                <w:color w:val="auto"/>
                <w:szCs w:val="24"/>
                <w:highlight w:val="none"/>
                <w:u w:val="single"/>
                <w:lang w:eastAsia="zh-CN"/>
              </w:rPr>
            </w:pPr>
            <w:r>
              <w:rPr>
                <w:rFonts w:hint="eastAsia" w:ascii="宋体" w:hAnsi="宋体" w:cs="宋体"/>
                <w:color w:val="auto"/>
                <w:szCs w:val="24"/>
                <w:highlight w:val="none"/>
                <w:lang w:eastAsia="zh-CN"/>
              </w:rPr>
              <w:t xml:space="preserve">合计（人民币）大写：</w:t>
            </w:r>
            <w:r>
              <w:rPr>
                <w:rFonts w:hint="eastAsia" w:ascii="宋体" w:hAnsi="宋体" w:cs="宋体"/>
                <w:color w:val="auto"/>
                <w:szCs w:val="24"/>
                <w:highlight w:val="none"/>
                <w:u w:val="single"/>
                <w:lang w:eastAsia="zh-CN"/>
              </w:rPr>
              <w:t xml:space="preserve">                    </w:t>
            </w:r>
            <w:r/>
          </w:p>
          <w:p>
            <w:pPr>
              <w:ind w:firstLine="2640"/>
              <w:jc w:val="both"/>
              <w:spacing w:line="400" w:lineRule="exact"/>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w:t>
            </w:r>
            <w:r>
              <w:rPr>
                <w:rFonts w:hint="eastAsia" w:ascii="宋体" w:hAnsi="宋体" w:cs="宋体"/>
                <w:color w:val="auto"/>
                <w:szCs w:val="24"/>
                <w:highlight w:val="none"/>
                <w:u w:val="single"/>
                <w:lang w:eastAsia="zh-CN"/>
              </w:rPr>
              <w:t xml:space="preserve">                    </w:t>
            </w:r>
            <w:r/>
          </w:p>
        </w:tc>
      </w:tr>
    </w:tbl>
    <w:p>
      <w:pPr>
        <w:ind w:firstLine="0"/>
        <w:jc w:val="both"/>
        <w:widowControl w:val="off"/>
        <w:rPr>
          <w:rFonts w:ascii="Times New Roman" w:hAnsi="Times New Roman" w:cs="Times New Roman"/>
          <w:b/>
          <w:color w:val="auto"/>
          <w:sz w:val="18"/>
          <w:szCs w:val="18"/>
          <w:highlight w:val="none"/>
          <w:lang w:eastAsia="zh-CN"/>
        </w:rPr>
      </w:pPr>
      <w:r>
        <w:rPr>
          <w:rFonts w:ascii="Times New Roman" w:hAnsi="Times New Roman" w:cs="Times New Roman"/>
          <w:b/>
          <w:color w:val="auto"/>
          <w:sz w:val="18"/>
          <w:szCs w:val="18"/>
          <w:highlight w:val="none"/>
          <w:lang w:eastAsia="zh-CN"/>
        </w:rPr>
      </w:r>
      <w:r/>
    </w:p>
    <w:p>
      <w:pPr>
        <w:ind w:firstLine="883"/>
        <w:jc w:val="both"/>
        <w:widowControl w:val="off"/>
        <w:rPr>
          <w:rFonts w:ascii="Times New Roman" w:hAnsi="Times New Roman" w:cs="Times New Roman"/>
          <w:b/>
          <w:color w:val="auto"/>
          <w:sz w:val="22"/>
          <w:szCs w:val="22"/>
          <w:highlight w:val="none"/>
          <w:lang w:eastAsia="zh-CN"/>
        </w:rPr>
      </w:pPr>
      <w:r>
        <w:rPr>
          <w:rFonts w:ascii="Times New Roman" w:hAnsi="Times New Roman" w:cs="Times New Roman"/>
          <w:b/>
          <w:color w:val="auto"/>
          <w:sz w:val="22"/>
          <w:szCs w:val="22"/>
          <w:highlight w:val="none"/>
          <w:lang w:eastAsia="zh-CN"/>
        </w:rPr>
      </w:r>
      <w:r/>
    </w:p>
    <w:p>
      <w:pPr>
        <w:ind w:firstLine="0"/>
        <w:jc w:val="both"/>
        <w:widowControl w:val="off"/>
        <w:rPr>
          <w:rFonts w:ascii="Times New Roman" w:hAnsi="Times New Roman" w:cs="Times New Roman"/>
          <w:b/>
          <w:color w:val="auto"/>
          <w:sz w:val="22"/>
          <w:szCs w:val="22"/>
          <w:highlight w:val="none"/>
          <w:lang w:eastAsia="zh-CN"/>
        </w:rPr>
      </w:pPr>
      <w:r>
        <w:rPr>
          <w:rFonts w:hint="eastAsia" w:ascii="Times New Roman" w:hAnsi="Times New Roman" w:cs="Times New Roman"/>
          <w:b/>
          <w:color w:val="auto"/>
          <w:sz w:val="22"/>
          <w:szCs w:val="22"/>
          <w:highlight w:val="none"/>
          <w:lang w:eastAsia="zh-CN"/>
        </w:rPr>
        <w:t xml:space="preserve">法定代表人或法定代表人授权代表签字或盖章：</w:t>
      </w:r>
      <w:r/>
    </w:p>
    <w:p>
      <w:pPr>
        <w:ind w:firstLine="0"/>
        <w:jc w:val="both"/>
        <w:widowControl w:val="off"/>
        <w:rPr>
          <w:rFonts w:ascii="Times New Roman" w:hAnsi="Times New Roman" w:cs="Times New Roman"/>
          <w:b/>
          <w:color w:val="auto"/>
          <w:sz w:val="22"/>
          <w:szCs w:val="22"/>
          <w:highlight w:val="none"/>
          <w:lang w:eastAsia="zh-CN"/>
        </w:rPr>
      </w:pPr>
      <w:r>
        <w:rPr>
          <w:rFonts w:hint="eastAsia" w:ascii="Times New Roman" w:hAnsi="Times New Roman" w:cs="Times New Roman"/>
          <w:b/>
          <w:color w:val="auto"/>
          <w:sz w:val="22"/>
          <w:szCs w:val="22"/>
          <w:highlight w:val="none"/>
          <w:lang w:eastAsia="zh-CN"/>
        </w:rPr>
        <w:t xml:space="preserve">日期：</w:t>
      </w:r>
      <w:r/>
    </w:p>
    <w:p>
      <w:pPr>
        <w:ind w:firstLine="0"/>
        <w:jc w:val="both"/>
        <w:widowControl w:val="off"/>
        <w:rPr>
          <w:rFonts w:ascii="Times New Roman" w:hAnsi="Times New Roman" w:cs="Times New Roman"/>
          <w:b/>
          <w:color w:val="auto"/>
          <w:sz w:val="22"/>
          <w:szCs w:val="22"/>
          <w:highlight w:val="none"/>
          <w:lang w:eastAsia="zh-CN"/>
        </w:rPr>
      </w:pPr>
      <w:r>
        <w:rPr>
          <w:rFonts w:ascii="Times New Roman" w:hAnsi="Times New Roman" w:cs="Times New Roman"/>
          <w:b/>
          <w:color w:val="auto"/>
          <w:sz w:val="22"/>
          <w:szCs w:val="22"/>
          <w:highlight w:val="none"/>
          <w:lang w:eastAsia="zh-CN"/>
        </w:rPr>
      </w:r>
      <w:r/>
    </w:p>
    <w:p>
      <w:pPr>
        <w:ind w:firstLine="480"/>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备注：以上报价包含满足本项目要求的所有产品及其配件、包装、运输、安装调试及售后服务等从项目中标起到项目正式交付以及质保期内所发生的一切费用。</w:t>
      </w:r>
      <w:bookmarkEnd w:id="36"/>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shd w:val="nil" w:color="auto"/>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（七）中小企业声明函（格式）：</w:t>
      </w:r>
      <w:r/>
    </w:p>
    <w:p>
      <w:pPr>
        <w:ind w:firstLine="0"/>
        <w:jc w:val="both"/>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pStyle w:val="993"/>
        <w:ind w:firstLine="640"/>
        <w:jc w:val="center"/>
        <w:spacing w:after="156"/>
        <w:rPr>
          <w:rFonts w:ascii="宋体" w:hAnsi="宋体"/>
          <w:color w:val="auto"/>
          <w:highlight w:val="none"/>
          <w:lang w:eastAsia="zh-CN"/>
        </w:rPr>
      </w:pPr>
      <w:r/>
      <w:bookmarkStart w:id="37" w:name="_Hlk104972057"/>
      <w:r>
        <w:rPr>
          <w:rFonts w:hint="eastAsia" w:ascii="宋体" w:hAnsi="宋体"/>
          <w:color w:val="auto"/>
          <w:highlight w:val="none"/>
          <w:lang w:eastAsia="zh-CN"/>
        </w:rPr>
        <w:t xml:space="preserve">中小企业声明函（货物）</w:t>
      </w:r>
      <w:r/>
    </w:p>
    <w:p>
      <w:pPr>
        <w:ind w:firstLine="480"/>
        <w:rPr>
          <w:rFonts w:ascii="宋体" w:hAnsi="宋体"/>
          <w:color w:val="auto"/>
          <w:highlight w:val="none"/>
          <w:lang w:eastAsia="zh-CN"/>
        </w:rPr>
      </w:pPr>
      <w:r>
        <w:rPr>
          <w:rFonts w:ascii="宋体" w:hAnsi="宋体"/>
          <w:color w:val="auto"/>
          <w:highlight w:val="none"/>
          <w:lang w:eastAsia="zh-CN"/>
        </w:rPr>
      </w:r>
      <w:r/>
    </w:p>
    <w:p>
      <w:pPr>
        <w:pStyle w:val="999"/>
        <w:ind w:right="415" w:firstLine="478"/>
        <w:spacing w:line="360" w:lineRule="auto"/>
        <w:rPr>
          <w:rFonts w:ascii="宋体" w:hAnsi="宋体" w:eastAsia="宋体" w:cs="等线"/>
          <w:color w:val="auto"/>
          <w:sz w:val="24"/>
          <w:szCs w:val="24"/>
          <w:highlight w:val="none"/>
          <w:lang w:eastAsia="zh-CN"/>
        </w:rPr>
      </w:pPr>
      <w:r/>
      <w:bookmarkStart w:id="38" w:name="_Hlk108531962"/>
      <w:r>
        <w:rPr>
          <w:rFonts w:ascii="宋体" w:hAnsi="宋体" w:eastAsia="宋体" w:cs="等线"/>
          <w:color w:val="auto"/>
          <w:spacing w:val="-2"/>
          <w:sz w:val="24"/>
          <w:szCs w:val="24"/>
          <w:highlight w:val="none"/>
          <w:lang w:eastAsia="zh-CN"/>
        </w:rPr>
        <w:t xml:space="preserve">本公司</w:t>
      </w:r>
      <w:r>
        <w:rPr>
          <w:rFonts w:ascii="宋体" w:hAnsi="宋体" w:eastAsia="宋体" w:cs="等线"/>
          <w:color w:val="auto"/>
          <w:sz w:val="24"/>
          <w:szCs w:val="24"/>
          <w:highlight w:val="none"/>
          <w:lang w:eastAsia="zh-CN"/>
        </w:rPr>
        <w:t xml:space="preserve">（联合体</w:t>
      </w:r>
      <w:r>
        <w:rPr>
          <w:rFonts w:ascii="宋体" w:hAnsi="宋体" w:eastAsia="宋体" w:cs="等线"/>
          <w:color w:val="auto"/>
          <w:spacing w:val="-5"/>
          <w:sz w:val="24"/>
          <w:szCs w:val="24"/>
          <w:highlight w:val="none"/>
          <w:lang w:eastAsia="zh-CN"/>
        </w:rPr>
        <w:t xml:space="preserve">）</w:t>
      </w:r>
      <w:r>
        <w:rPr>
          <w:rFonts w:ascii="宋体" w:hAnsi="宋体" w:eastAsia="宋体" w:cs="等线"/>
          <w:color w:val="auto"/>
          <w:spacing w:val="-2"/>
          <w:sz w:val="24"/>
          <w:szCs w:val="24"/>
          <w:highlight w:val="none"/>
          <w:lang w:eastAsia="zh-CN"/>
        </w:rPr>
        <w:t xml:space="preserve">郑重声明，根据《政府采购促进中小</w:t>
      </w:r>
      <w:r>
        <w:rPr>
          <w:rFonts w:ascii="宋体" w:hAnsi="宋体" w:eastAsia="宋体" w:cs="等线"/>
          <w:color w:val="auto"/>
          <w:spacing w:val="-18"/>
          <w:sz w:val="24"/>
          <w:szCs w:val="24"/>
          <w:highlight w:val="none"/>
          <w:lang w:eastAsia="zh-CN"/>
        </w:rPr>
        <w:t xml:space="preserve">企业发展管理办法》</w:t>
      </w:r>
      <w:r>
        <w:rPr>
          <w:rFonts w:ascii="宋体" w:hAnsi="宋体" w:eastAsia="宋体" w:cs="等线"/>
          <w:color w:val="auto"/>
          <w:sz w:val="24"/>
          <w:szCs w:val="24"/>
          <w:highlight w:val="none"/>
          <w:lang w:eastAsia="zh-CN"/>
        </w:rPr>
        <w:t xml:space="preserve">（</w:t>
      </w:r>
      <w:r>
        <w:rPr>
          <w:rFonts w:ascii="宋体" w:hAnsi="宋体" w:eastAsia="宋体" w:cs="等线"/>
          <w:color w:val="auto"/>
          <w:spacing w:val="5"/>
          <w:sz w:val="24"/>
          <w:szCs w:val="24"/>
          <w:highlight w:val="none"/>
          <w:lang w:eastAsia="zh-CN"/>
        </w:rPr>
        <w:t xml:space="preserve">财库</w:t>
      </w:r>
      <w:r>
        <w:rPr>
          <w:rFonts w:ascii="宋体" w:hAnsi="宋体" w:eastAsia="宋体" w:cs="等线"/>
          <w:color w:val="auto"/>
          <w:sz w:val="24"/>
          <w:szCs w:val="24"/>
          <w:highlight w:val="none"/>
          <w:lang w:eastAsia="zh-CN"/>
        </w:rPr>
        <w:t xml:space="preserve">﹝2020﹞46</w:t>
      </w:r>
      <w:r>
        <w:rPr>
          <w:rFonts w:ascii="宋体" w:hAnsi="宋体" w:eastAsia="宋体" w:cs="等线"/>
          <w:color w:val="auto"/>
          <w:spacing w:val="-38"/>
          <w:sz w:val="24"/>
          <w:szCs w:val="24"/>
          <w:highlight w:val="none"/>
          <w:lang w:eastAsia="zh-CN"/>
        </w:rPr>
        <w:t xml:space="preserve"> 号</w:t>
      </w:r>
      <w:r>
        <w:rPr>
          <w:rFonts w:ascii="宋体" w:hAnsi="宋体" w:eastAsia="宋体" w:cs="等线"/>
          <w:color w:val="auto"/>
          <w:spacing w:val="5"/>
          <w:sz w:val="24"/>
          <w:szCs w:val="24"/>
          <w:highlight w:val="none"/>
          <w:lang w:eastAsia="zh-CN"/>
        </w:rPr>
        <w:t xml:space="preserve">）</w:t>
      </w:r>
      <w:r>
        <w:rPr>
          <w:rFonts w:ascii="宋体" w:hAnsi="宋体" w:eastAsia="宋体" w:cs="等线"/>
          <w:color w:val="auto"/>
          <w:sz w:val="24"/>
          <w:szCs w:val="24"/>
          <w:highlight w:val="none"/>
          <w:lang w:eastAsia="zh-CN"/>
        </w:rPr>
        <w:t xml:space="preserve">的规定，本公司（联合体）参加</w:t>
      </w:r>
      <w:r>
        <w:rPr>
          <w:rFonts w:ascii="宋体" w:hAnsi="宋体" w:eastAsia="宋体" w:cs="等线"/>
          <w:color w:val="auto"/>
          <w:sz w:val="24"/>
          <w:szCs w:val="24"/>
          <w:highlight w:val="none"/>
          <w:u w:val="single"/>
          <w:lang w:eastAsia="zh-CN"/>
        </w:rPr>
        <w:t xml:space="preserve">  （单位名称）  </w:t>
      </w:r>
      <w:r>
        <w:rPr>
          <w:rFonts w:ascii="宋体" w:hAnsi="宋体" w:eastAsia="宋体" w:cs="等线"/>
          <w:color w:val="auto"/>
          <w:sz w:val="24"/>
          <w:szCs w:val="24"/>
          <w:highlight w:val="none"/>
          <w:lang w:eastAsia="zh-CN"/>
        </w:rPr>
        <w:t xml:space="preserve">的</w:t>
      </w:r>
      <w:r>
        <w:rPr>
          <w:rFonts w:ascii="宋体" w:hAnsi="宋体" w:eastAsia="宋体" w:cs="等线"/>
          <w:color w:val="auto"/>
          <w:sz w:val="24"/>
          <w:szCs w:val="24"/>
          <w:highlight w:val="none"/>
          <w:u w:val="single"/>
          <w:lang w:eastAsia="zh-CN"/>
        </w:rPr>
        <w:t xml:space="preserve">  （项目名称）  </w:t>
      </w:r>
      <w:r>
        <w:rPr>
          <w:rFonts w:ascii="宋体" w:hAnsi="宋体" w:eastAsia="宋体" w:cs="等线"/>
          <w:color w:val="auto"/>
          <w:sz w:val="24"/>
          <w:szCs w:val="24"/>
          <w:highlight w:val="none"/>
          <w:lang w:eastAsia="zh-CN"/>
        </w:rPr>
        <w:t xml:space="preserve">采购活动，</w:t>
      </w:r>
      <w:r>
        <w:rPr>
          <w:rFonts w:hint="eastAsia" w:ascii="宋体" w:hAnsi="宋体" w:eastAsia="宋体" w:cs="等线"/>
          <w:color w:val="auto"/>
          <w:sz w:val="24"/>
          <w:szCs w:val="24"/>
          <w:highlight w:val="none"/>
          <w:lang w:eastAsia="zh-CN"/>
        </w:rPr>
        <w:t xml:space="preserve">提供的货物</w:t>
      </w:r>
      <w:r>
        <w:rPr>
          <w:rFonts w:ascii="宋体" w:hAnsi="宋体" w:eastAsia="宋体" w:cs="等线"/>
          <w:color w:val="auto"/>
          <w:sz w:val="24"/>
          <w:szCs w:val="24"/>
          <w:highlight w:val="none"/>
          <w:lang w:eastAsia="zh-CN"/>
        </w:rPr>
        <w:t xml:space="preserve">全部由符合政策要求的中小企业</w:t>
      </w:r>
      <w:r>
        <w:rPr>
          <w:rFonts w:hint="eastAsia" w:ascii="宋体" w:hAnsi="宋体" w:eastAsia="宋体" w:cs="等线"/>
          <w:color w:val="auto"/>
          <w:sz w:val="24"/>
          <w:szCs w:val="24"/>
          <w:highlight w:val="none"/>
          <w:lang w:eastAsia="zh-CN"/>
        </w:rPr>
        <w:t xml:space="preserve">制造</w:t>
      </w:r>
      <w:r>
        <w:rPr>
          <w:rFonts w:ascii="宋体" w:hAnsi="宋体" w:eastAsia="宋体" w:cs="等线"/>
          <w:color w:val="auto"/>
          <w:sz w:val="24"/>
          <w:szCs w:val="24"/>
          <w:highlight w:val="none"/>
          <w:lang w:eastAsia="zh-CN"/>
        </w:rPr>
        <w:t xml:space="preserve">。相关企业（含联合体中的中小企业、签订分包意向协议的中小企业）的具体情况如下：</w:t>
      </w:r>
      <w:r/>
    </w:p>
    <w:p>
      <w:pPr>
        <w:pStyle w:val="1009"/>
        <w:ind w:right="482"/>
        <w:tabs>
          <w:tab w:val="left" w:pos="1243" w:leader="none"/>
        </w:tabs>
        <w:rPr>
          <w:rFonts w:ascii="宋体" w:hAnsi="宋体" w:cs="等线"/>
          <w:color w:val="auto"/>
          <w:highlight w:val="none"/>
          <w:lang w:eastAsia="zh-CN"/>
        </w:rPr>
      </w:pPr>
      <w:r>
        <w:rPr>
          <w:rFonts w:ascii="宋体" w:hAnsi="宋体" w:cs="等线"/>
          <w:color w:val="auto"/>
          <w:highlight w:val="none"/>
          <w:lang w:eastAsia="zh-CN" w:bidi="zh-CN"/>
        </w:rPr>
        <w:t xml:space="preserve">1.</w:t>
      </w:r>
      <w:r>
        <w:rPr>
          <w:rFonts w:ascii="宋体" w:hAnsi="宋体" w:cs="等线"/>
          <w:color w:val="auto"/>
          <w:highlight w:val="none"/>
          <w:u w:val="single"/>
          <w:lang w:eastAsia="zh-CN" w:bidi="zh-CN"/>
        </w:rPr>
        <w:t xml:space="preserve"> </w:t>
      </w:r>
      <w:r>
        <w:rPr>
          <w:rFonts w:hint="eastAsia" w:ascii="宋体" w:hAnsi="宋体" w:cs="等线"/>
          <w:color w:val="auto"/>
          <w:highlight w:val="none"/>
          <w:u w:val="single"/>
          <w:lang w:val="zh-CN" w:eastAsia="zh-CN" w:bidi="zh-CN"/>
        </w:rPr>
        <w:t xml:space="preserve">（标的名称） </w:t>
      </w:r>
      <w:r>
        <w:rPr>
          <w:rFonts w:hint="eastAsia" w:ascii="宋体" w:hAnsi="宋体" w:cs="等线"/>
          <w:color w:val="auto"/>
          <w:spacing w:val="-60"/>
          <w:highlight w:val="none"/>
          <w:lang w:eastAsia="zh-CN"/>
        </w:rPr>
        <w:t xml:space="preserve">，</w:t>
      </w:r>
      <w:r>
        <w:rPr>
          <w:rFonts w:hint="eastAsia" w:ascii="宋体" w:hAnsi="宋体" w:cs="等线"/>
          <w:bCs/>
          <w:color w:val="auto"/>
          <w:highlight w:val="none"/>
          <w:lang w:eastAsia="zh-CN"/>
        </w:rPr>
        <w:t xml:space="preserve">属于</w:t>
      </w:r>
      <w:r>
        <w:rPr>
          <w:rFonts w:hint="eastAsia" w:ascii="宋体" w:hAnsi="宋体" w:cs="等线"/>
          <w:bCs/>
          <w:color w:val="auto"/>
          <w:highlight w:val="none"/>
          <w:u w:val="single"/>
          <w:lang w:eastAsia="zh-CN"/>
        </w:rPr>
        <w:t xml:space="preserve"> </w:t>
      </w:r>
      <w:r>
        <w:rPr>
          <w:rFonts w:hint="eastAsia" w:ascii="宋体" w:hAnsi="宋体" w:cs="等线"/>
          <w:color w:val="auto"/>
          <w:spacing w:val="5"/>
          <w:highlight w:val="none"/>
          <w:u w:val="single"/>
          <w:lang w:val="zh-CN" w:eastAsia="zh-CN" w:bidi="zh-CN"/>
        </w:rPr>
        <w:t xml:space="preserve">（</w:t>
      </w:r>
      <w:r>
        <w:rPr>
          <w:rFonts w:hint="eastAsia" w:ascii="宋体" w:hAnsi="宋体" w:cs="等线"/>
          <w:color w:val="auto"/>
          <w:highlight w:val="none"/>
          <w:u w:val="single"/>
          <w:lang w:val="zh-CN" w:eastAsia="zh-CN" w:bidi="zh-CN"/>
        </w:rPr>
        <w:t xml:space="preserve">招标文件中明确的所属行业）行业</w:t>
      </w:r>
      <w:r>
        <w:rPr>
          <w:rFonts w:hint="eastAsia" w:ascii="宋体" w:hAnsi="宋体" w:cs="等线"/>
          <w:color w:val="auto"/>
          <w:highlight w:val="none"/>
          <w:lang w:val="zh-CN" w:eastAsia="zh-CN" w:bidi="zh-CN"/>
        </w:rPr>
        <w:t xml:space="preserve">；</w:t>
      </w:r>
      <w:r>
        <w:rPr>
          <w:rFonts w:hint="eastAsia" w:ascii="宋体" w:hAnsi="宋体" w:cs="等线"/>
          <w:color w:val="auto"/>
          <w:highlight w:val="none"/>
          <w:lang w:eastAsia="zh-CN"/>
        </w:rPr>
        <w:t xml:space="preserve">制造商为</w:t>
      </w:r>
      <w:r>
        <w:rPr>
          <w:rFonts w:hint="eastAsia" w:ascii="宋体" w:hAnsi="宋体" w:cs="等线"/>
          <w:color w:val="auto"/>
          <w:highlight w:val="none"/>
          <w:u w:val="single"/>
          <w:lang w:eastAsia="zh-CN"/>
        </w:rPr>
        <w:t xml:space="preserve"> （企业名称）</w:t>
      </w:r>
      <w:r>
        <w:rPr>
          <w:rFonts w:hint="eastAsia" w:ascii="宋体" w:hAnsi="宋体" w:cs="等线"/>
          <w:color w:val="auto"/>
          <w:highlight w:val="none"/>
          <w:lang w:eastAsia="zh-CN"/>
        </w:rPr>
        <w:t xml:space="preserve">，从业人员</w:t>
      </w:r>
      <w:r>
        <w:rPr>
          <w:rFonts w:ascii="宋体" w:hAnsi="宋体" w:cs="等线"/>
          <w:color w:val="auto"/>
          <w:highlight w:val="none"/>
          <w:u w:val="single"/>
          <w:lang w:eastAsia="zh-CN"/>
        </w:rPr>
        <w:t xml:space="preserve">      </w:t>
      </w:r>
      <w:r>
        <w:rPr>
          <w:rFonts w:hint="eastAsia" w:ascii="宋体" w:hAnsi="宋体" w:cs="等线"/>
          <w:color w:val="auto"/>
          <w:highlight w:val="none"/>
          <w:lang w:eastAsia="zh-CN"/>
        </w:rPr>
        <w:t xml:space="preserve">人，营业收入为</w:t>
      </w:r>
      <w:r>
        <w:rPr>
          <w:rFonts w:ascii="宋体" w:hAnsi="宋体" w:cs="等线"/>
          <w:color w:val="auto"/>
          <w:highlight w:val="none"/>
          <w:u w:val="single"/>
          <w:lang w:eastAsia="zh-CN"/>
        </w:rPr>
        <w:t xml:space="preserve">      </w:t>
      </w:r>
      <w:r>
        <w:rPr>
          <w:rFonts w:hint="eastAsia" w:ascii="宋体" w:hAnsi="宋体" w:cs="等线"/>
          <w:color w:val="auto"/>
          <w:highlight w:val="none"/>
          <w:lang w:eastAsia="zh-CN"/>
        </w:rPr>
        <w:t xml:space="preserve">万元，资产总额为</w:t>
      </w:r>
      <w:r>
        <w:rPr>
          <w:rFonts w:ascii="宋体" w:hAnsi="宋体" w:cs="等线"/>
          <w:color w:val="auto"/>
          <w:highlight w:val="none"/>
          <w:u w:val="single"/>
          <w:lang w:eastAsia="zh-CN"/>
        </w:rPr>
        <w:t xml:space="preserve">      </w:t>
      </w:r>
      <w:r>
        <w:rPr>
          <w:rFonts w:hint="eastAsia" w:ascii="宋体" w:hAnsi="宋体" w:cs="等线"/>
          <w:color w:val="auto"/>
          <w:highlight w:val="none"/>
          <w:lang w:eastAsia="zh-CN"/>
        </w:rPr>
        <w:t xml:space="preserve">万元，属于</w:t>
      </w:r>
      <w:r>
        <w:rPr>
          <w:rFonts w:hint="eastAsia" w:ascii="宋体" w:hAnsi="宋体" w:cs="等线"/>
          <w:color w:val="auto"/>
          <w:highlight w:val="none"/>
          <w:u w:val="single"/>
          <w:lang w:eastAsia="zh-CN"/>
        </w:rPr>
        <w:t xml:space="preserve">（中型企业、小型企业、微型企业） </w:t>
      </w:r>
      <w:r>
        <w:rPr>
          <w:rFonts w:hint="eastAsia" w:ascii="宋体" w:hAnsi="宋体" w:cs="等线"/>
          <w:color w:val="auto"/>
          <w:highlight w:val="none"/>
          <w:lang w:eastAsia="zh-CN"/>
        </w:rPr>
        <w:t xml:space="preserve">；</w:t>
      </w:r>
      <w:r/>
    </w:p>
    <w:p>
      <w:pPr>
        <w:pStyle w:val="999"/>
        <w:ind w:right="415" w:firstLine="480"/>
        <w:spacing w:line="360" w:lineRule="auto"/>
        <w:rPr>
          <w:rFonts w:ascii="宋体" w:hAnsi="宋体" w:eastAsia="宋体" w:cs="等线"/>
          <w:color w:val="auto"/>
          <w:sz w:val="24"/>
          <w:szCs w:val="24"/>
          <w:highlight w:val="none"/>
          <w:lang w:eastAsia="zh-CN"/>
        </w:rPr>
      </w:pPr>
      <w:r>
        <w:rPr>
          <w:rFonts w:ascii="宋体" w:hAnsi="宋体" w:eastAsia="宋体" w:cs="等线"/>
          <w:color w:val="auto"/>
          <w:sz w:val="24"/>
          <w:szCs w:val="24"/>
          <w:highlight w:val="none"/>
          <w:lang w:eastAsia="zh-CN"/>
        </w:rPr>
        <w:t xml:space="preserve">2.</w:t>
      </w:r>
      <w:r>
        <w:rPr>
          <w:rFonts w:ascii="宋体" w:hAnsi="宋体" w:eastAsia="宋体" w:cs="等线"/>
          <w:color w:val="auto"/>
          <w:sz w:val="24"/>
          <w:szCs w:val="24"/>
          <w:highlight w:val="none"/>
          <w:u w:val="single"/>
          <w:lang w:eastAsia="zh-CN"/>
        </w:rPr>
        <w:t xml:space="preserve"> </w:t>
      </w:r>
      <w:r>
        <w:rPr>
          <w:rFonts w:hint="eastAsia" w:ascii="宋体" w:hAnsi="宋体" w:eastAsia="宋体" w:cs="等线"/>
          <w:color w:val="auto"/>
          <w:sz w:val="24"/>
          <w:highlight w:val="none"/>
          <w:u w:val="single"/>
          <w:lang w:val="zh-CN" w:eastAsia="zh-CN" w:bidi="zh-CN"/>
        </w:rPr>
        <w:t xml:space="preserve">（标的名称） </w:t>
      </w:r>
      <w:r>
        <w:rPr>
          <w:rFonts w:hint="eastAsia" w:ascii="宋体" w:hAnsi="宋体" w:eastAsia="宋体" w:cs="等线"/>
          <w:color w:val="auto"/>
          <w:spacing w:val="-60"/>
          <w:sz w:val="24"/>
          <w:highlight w:val="none"/>
          <w:lang w:eastAsia="zh-CN"/>
        </w:rPr>
        <w:t xml:space="preserve">，</w:t>
      </w:r>
      <w:r>
        <w:rPr>
          <w:rFonts w:hint="eastAsia" w:ascii="宋体" w:hAnsi="宋体" w:eastAsia="宋体" w:cs="等线"/>
          <w:bCs/>
          <w:color w:val="auto"/>
          <w:sz w:val="24"/>
          <w:highlight w:val="none"/>
          <w:lang w:eastAsia="zh-CN"/>
        </w:rPr>
        <w:t xml:space="preserve">属于</w:t>
      </w:r>
      <w:r>
        <w:rPr>
          <w:rFonts w:hint="eastAsia" w:ascii="宋体" w:hAnsi="宋体" w:eastAsia="宋体" w:cs="等线"/>
          <w:bCs/>
          <w:color w:val="auto"/>
          <w:sz w:val="24"/>
          <w:highlight w:val="none"/>
          <w:u w:val="single"/>
          <w:lang w:eastAsia="zh-CN"/>
        </w:rPr>
        <w:t xml:space="preserve"> </w:t>
      </w:r>
      <w:r>
        <w:rPr>
          <w:rFonts w:hint="eastAsia" w:ascii="宋体" w:hAnsi="宋体" w:eastAsia="宋体" w:cs="等线"/>
          <w:color w:val="auto"/>
          <w:spacing w:val="5"/>
          <w:sz w:val="24"/>
          <w:highlight w:val="none"/>
          <w:u w:val="single"/>
          <w:lang w:val="zh-CN" w:eastAsia="zh-CN" w:bidi="zh-CN"/>
        </w:rPr>
        <w:t xml:space="preserve">（</w:t>
      </w:r>
      <w:r>
        <w:rPr>
          <w:rFonts w:hint="eastAsia" w:ascii="宋体" w:hAnsi="宋体" w:eastAsia="宋体" w:cs="等线"/>
          <w:color w:val="auto"/>
          <w:sz w:val="24"/>
          <w:highlight w:val="none"/>
          <w:u w:val="single"/>
          <w:lang w:val="zh-CN" w:eastAsia="zh-CN" w:bidi="zh-CN"/>
        </w:rPr>
        <w:t xml:space="preserve">招标文件中明确的所属行业）行业</w:t>
      </w:r>
      <w:r>
        <w:rPr>
          <w:rFonts w:hint="eastAsia" w:ascii="宋体" w:hAnsi="宋体" w:eastAsia="宋体" w:cs="等线"/>
          <w:color w:val="auto"/>
          <w:sz w:val="24"/>
          <w:highlight w:val="none"/>
          <w:lang w:val="zh-CN" w:eastAsia="zh-CN" w:bidi="zh-CN"/>
        </w:rPr>
        <w:t xml:space="preserve">；</w:t>
      </w:r>
      <w:r>
        <w:rPr>
          <w:rFonts w:hint="eastAsia" w:ascii="宋体" w:hAnsi="宋体" w:eastAsia="宋体" w:cs="等线"/>
          <w:color w:val="auto"/>
          <w:sz w:val="24"/>
          <w:highlight w:val="none"/>
          <w:lang w:eastAsia="zh-CN"/>
        </w:rPr>
        <w:t xml:space="preserve">制造商为</w:t>
      </w:r>
      <w:r>
        <w:rPr>
          <w:rFonts w:hint="eastAsia" w:ascii="宋体" w:hAnsi="宋体" w:eastAsia="宋体" w:cs="等线"/>
          <w:color w:val="auto"/>
          <w:sz w:val="24"/>
          <w:highlight w:val="none"/>
          <w:u w:val="single"/>
          <w:lang w:eastAsia="zh-CN"/>
        </w:rPr>
        <w:t xml:space="preserve">（企业名称）</w:t>
      </w:r>
      <w:r>
        <w:rPr>
          <w:rFonts w:hint="eastAsia" w:ascii="宋体" w:hAnsi="宋体" w:eastAsia="宋体" w:cs="等线"/>
          <w:color w:val="auto"/>
          <w:sz w:val="24"/>
          <w:highlight w:val="none"/>
          <w:lang w:eastAsia="zh-CN"/>
        </w:rPr>
        <w:t xml:space="preserve">，从业人员</w:t>
      </w:r>
      <w:r>
        <w:rPr>
          <w:rFonts w:ascii="宋体" w:hAnsi="宋体" w:eastAsia="宋体" w:cs="等线"/>
          <w:color w:val="auto"/>
          <w:sz w:val="24"/>
          <w:highlight w:val="none"/>
          <w:u w:val="single"/>
          <w:lang w:eastAsia="zh-CN"/>
        </w:rPr>
        <w:t xml:space="preserve">      </w:t>
      </w:r>
      <w:r>
        <w:rPr>
          <w:rFonts w:hint="eastAsia" w:ascii="宋体" w:hAnsi="宋体" w:eastAsia="宋体" w:cs="等线"/>
          <w:color w:val="auto"/>
          <w:sz w:val="24"/>
          <w:highlight w:val="none"/>
          <w:lang w:eastAsia="zh-CN"/>
        </w:rPr>
        <w:t xml:space="preserve">人，营业收入为</w:t>
      </w:r>
      <w:r>
        <w:rPr>
          <w:rFonts w:ascii="宋体" w:hAnsi="宋体" w:eastAsia="宋体" w:cs="等线"/>
          <w:color w:val="auto"/>
          <w:sz w:val="24"/>
          <w:highlight w:val="none"/>
          <w:u w:val="single"/>
          <w:lang w:eastAsia="zh-CN"/>
        </w:rPr>
        <w:t xml:space="preserve">      </w:t>
      </w:r>
      <w:r>
        <w:rPr>
          <w:rFonts w:hint="eastAsia" w:ascii="宋体" w:hAnsi="宋体" w:eastAsia="宋体" w:cs="等线"/>
          <w:color w:val="auto"/>
          <w:sz w:val="24"/>
          <w:highlight w:val="none"/>
          <w:lang w:eastAsia="zh-CN"/>
        </w:rPr>
        <w:t xml:space="preserve">万元，资产总额为</w:t>
      </w:r>
      <w:r>
        <w:rPr>
          <w:rFonts w:ascii="宋体" w:hAnsi="宋体" w:eastAsia="宋体" w:cs="等线"/>
          <w:color w:val="auto"/>
          <w:sz w:val="24"/>
          <w:highlight w:val="none"/>
          <w:u w:val="single"/>
          <w:lang w:eastAsia="zh-CN"/>
        </w:rPr>
        <w:t xml:space="preserve">      </w:t>
      </w:r>
      <w:r>
        <w:rPr>
          <w:rFonts w:hint="eastAsia" w:ascii="宋体" w:hAnsi="宋体" w:eastAsia="宋体" w:cs="等线"/>
          <w:color w:val="auto"/>
          <w:sz w:val="24"/>
          <w:highlight w:val="none"/>
          <w:lang w:eastAsia="zh-CN"/>
        </w:rPr>
        <w:t xml:space="preserve">万元，属于</w:t>
      </w:r>
      <w:r>
        <w:rPr>
          <w:rFonts w:hint="eastAsia" w:ascii="宋体" w:hAnsi="宋体" w:eastAsia="宋体" w:cs="等线"/>
          <w:color w:val="auto"/>
          <w:sz w:val="24"/>
          <w:highlight w:val="none"/>
          <w:u w:val="single"/>
          <w:lang w:eastAsia="zh-CN"/>
        </w:rPr>
        <w:t xml:space="preserve">（中型企业、小型企业、微型企业） </w:t>
      </w:r>
      <w:r>
        <w:rPr>
          <w:rFonts w:hint="eastAsia" w:ascii="宋体" w:hAnsi="宋体" w:eastAsia="宋体" w:cs="等线"/>
          <w:color w:val="auto"/>
          <w:sz w:val="24"/>
          <w:highlight w:val="none"/>
          <w:lang w:eastAsia="zh-CN"/>
        </w:rPr>
        <w:t xml:space="preserve">；</w:t>
      </w:r>
      <w:r/>
    </w:p>
    <w:p>
      <w:pPr>
        <w:pStyle w:val="999"/>
        <w:ind w:left="860" w:firstLine="482"/>
        <w:spacing w:before="11" w:line="360" w:lineRule="auto"/>
        <w:rPr>
          <w:rFonts w:ascii="宋体" w:hAnsi="宋体" w:eastAsia="宋体" w:cs="等线"/>
          <w:color w:val="auto"/>
          <w:sz w:val="24"/>
          <w:szCs w:val="24"/>
          <w:highlight w:val="none"/>
          <w:lang w:eastAsia="zh-CN"/>
        </w:rPr>
      </w:pPr>
      <w:r>
        <w:rPr>
          <w:rFonts w:ascii="宋体" w:hAnsi="宋体" w:eastAsia="宋体" w:cs="等线"/>
          <w:color w:val="auto"/>
          <w:sz w:val="24"/>
          <w:szCs w:val="24"/>
          <w:highlight w:val="none"/>
          <w:lang w:eastAsia="zh-CN"/>
        </w:rPr>
        <w:t xml:space="preserve">……</w:t>
      </w:r>
      <w:r/>
    </w:p>
    <w:p>
      <w:pPr>
        <w:pStyle w:val="999"/>
        <w:ind w:right="417" w:firstLine="476"/>
        <w:spacing w:before="108" w:line="360" w:lineRule="auto"/>
        <w:rPr>
          <w:rFonts w:ascii="宋体" w:hAnsi="宋体" w:eastAsia="宋体" w:cs="等线"/>
          <w:color w:val="auto"/>
          <w:sz w:val="24"/>
          <w:szCs w:val="24"/>
          <w:highlight w:val="none"/>
          <w:lang w:eastAsia="zh-CN"/>
        </w:rPr>
      </w:pPr>
      <w:r>
        <w:rPr>
          <w:rFonts w:ascii="宋体" w:hAnsi="宋体" w:eastAsia="宋体" w:cs="等线"/>
          <w:color w:val="auto"/>
          <w:spacing w:val="-3"/>
          <w:sz w:val="24"/>
          <w:szCs w:val="24"/>
          <w:highlight w:val="none"/>
          <w:lang w:eastAsia="zh-CN"/>
        </w:rPr>
        <w:t xml:space="preserve">以上企业，不属于大企业的分支机构，不存在控股股东</w:t>
      </w:r>
      <w:r>
        <w:rPr>
          <w:rFonts w:ascii="宋体" w:hAnsi="宋体" w:eastAsia="宋体" w:cs="等线"/>
          <w:color w:val="auto"/>
          <w:spacing w:val="-5"/>
          <w:sz w:val="24"/>
          <w:szCs w:val="24"/>
          <w:highlight w:val="none"/>
          <w:lang w:eastAsia="zh-CN"/>
        </w:rPr>
        <w:t xml:space="preserve">为大企业的情形，也不存在与大企业的负责人为同一人的情形。</w:t>
      </w:r>
      <w:r/>
    </w:p>
    <w:p>
      <w:pPr>
        <w:pStyle w:val="999"/>
        <w:ind w:right="375" w:firstLine="482"/>
        <w:spacing w:line="360" w:lineRule="auto"/>
        <w:rPr>
          <w:rFonts w:ascii="宋体" w:hAnsi="宋体" w:eastAsia="宋体" w:cs="等线"/>
          <w:color w:val="auto"/>
          <w:sz w:val="24"/>
          <w:szCs w:val="24"/>
          <w:highlight w:val="none"/>
          <w:lang w:eastAsia="zh-CN"/>
        </w:rPr>
      </w:pPr>
      <w:r>
        <w:rPr>
          <w:rFonts w:ascii="宋体" w:hAnsi="宋体" w:eastAsia="宋体" w:cs="等线"/>
          <w:color w:val="auto"/>
          <w:sz w:val="24"/>
          <w:szCs w:val="24"/>
          <w:highlight w:val="none"/>
          <w:lang w:eastAsia="zh-CN"/>
        </w:rPr>
        <w:t xml:space="preserve">本企业对上述声明内容的真实性负责。如有虚假，将依法承担相应责任。</w:t>
      </w:r>
      <w:r/>
    </w:p>
    <w:p>
      <w:pPr>
        <w:pStyle w:val="999"/>
        <w:ind w:right="2166" w:firstLine="482"/>
        <w:spacing w:before="29" w:line="360" w:lineRule="auto"/>
        <w:rPr>
          <w:rFonts w:ascii="宋体" w:hAnsi="宋体" w:eastAsia="宋体" w:cs="等线"/>
          <w:color w:val="auto"/>
          <w:sz w:val="24"/>
          <w:szCs w:val="24"/>
          <w:highlight w:val="none"/>
          <w:lang w:eastAsia="zh-CN"/>
        </w:rPr>
      </w:pPr>
      <w:r>
        <w:rPr>
          <w:rFonts w:ascii="宋体" w:hAnsi="宋体" w:eastAsia="宋体" w:cs="等线"/>
          <w:color w:val="auto"/>
          <w:sz w:val="24"/>
          <w:szCs w:val="24"/>
          <w:highlight w:val="none"/>
          <w:lang w:eastAsia="zh-CN"/>
        </w:rPr>
      </w:r>
      <w:r/>
    </w:p>
    <w:p>
      <w:pPr>
        <w:pStyle w:val="999"/>
        <w:ind w:right="2166" w:firstLine="240"/>
        <w:jc w:val="right"/>
        <w:spacing w:before="29" w:line="360" w:lineRule="auto"/>
        <w:rPr>
          <w:rFonts w:ascii="宋体" w:hAnsi="宋体" w:eastAsia="宋体" w:cs="等线"/>
          <w:color w:val="auto"/>
          <w:sz w:val="24"/>
          <w:szCs w:val="24"/>
          <w:highlight w:val="none"/>
          <w:lang w:eastAsia="zh-CN"/>
        </w:rPr>
      </w:pPr>
      <w:r>
        <w:rPr>
          <w:rFonts w:hint="eastAsia" w:ascii="宋体" w:hAnsi="宋体" w:eastAsia="宋体" w:cs="等线"/>
          <w:color w:val="auto"/>
          <w:sz w:val="24"/>
          <w:szCs w:val="24"/>
          <w:highlight w:val="none"/>
          <w:lang w:eastAsia="zh-CN"/>
        </w:rPr>
        <w:t xml:space="preserve">企业名称</w:t>
      </w:r>
      <w:r>
        <w:rPr>
          <w:rFonts w:ascii="宋体" w:hAnsi="宋体" w:eastAsia="宋体" w:cs="等线"/>
          <w:color w:val="auto"/>
          <w:sz w:val="24"/>
          <w:szCs w:val="24"/>
          <w:highlight w:val="none"/>
          <w:lang w:eastAsia="zh-CN"/>
        </w:rPr>
        <w:t xml:space="preserve">（盖章）：</w:t>
      </w:r>
      <w:r/>
    </w:p>
    <w:p>
      <w:pPr>
        <w:pStyle w:val="999"/>
        <w:ind w:right="2166"/>
        <w:jc w:val="center"/>
        <w:spacing w:before="29" w:line="360" w:lineRule="auto"/>
        <w:rPr>
          <w:rFonts w:ascii="宋体" w:hAnsi="宋体" w:eastAsia="宋体" w:cs="仿宋"/>
          <w:color w:val="auto"/>
          <w:sz w:val="24"/>
          <w:szCs w:val="24"/>
          <w:highlight w:val="none"/>
          <w:lang w:eastAsia="zh-CN"/>
        </w:rPr>
      </w:pPr>
      <w:r>
        <w:rPr>
          <w:rFonts w:hint="eastAsia" w:ascii="宋体" w:hAnsi="宋体" w:eastAsia="宋体" w:cs="等线"/>
          <w:color w:val="auto"/>
          <w:sz w:val="24"/>
          <w:szCs w:val="24"/>
          <w:highlight w:val="none"/>
          <w:lang w:eastAsia="zh-CN"/>
        </w:rPr>
        <w:t xml:space="preserve">                                  </w:t>
      </w:r>
      <w:r>
        <w:rPr>
          <w:rFonts w:ascii="宋体" w:hAnsi="宋体" w:eastAsia="宋体" w:cs="等线"/>
          <w:color w:val="auto"/>
          <w:sz w:val="24"/>
          <w:szCs w:val="24"/>
          <w:highlight w:val="none"/>
          <w:lang w:eastAsia="zh-CN"/>
        </w:rPr>
        <w:t xml:space="preserve">日</w:t>
      </w:r>
      <w:r>
        <w:rPr>
          <w:rFonts w:hint="eastAsia" w:ascii="宋体" w:hAnsi="宋体" w:eastAsia="宋体" w:cs="等线"/>
          <w:color w:val="auto"/>
          <w:sz w:val="24"/>
          <w:szCs w:val="24"/>
          <w:highlight w:val="none"/>
          <w:lang w:eastAsia="zh-CN"/>
        </w:rPr>
        <w:t xml:space="preserve"> </w:t>
      </w:r>
      <w:r>
        <w:rPr>
          <w:rFonts w:ascii="宋体" w:hAnsi="宋体" w:eastAsia="宋体" w:cs="等线"/>
          <w:color w:val="auto"/>
          <w:sz w:val="24"/>
          <w:szCs w:val="24"/>
          <w:highlight w:val="none"/>
          <w:lang w:eastAsia="zh-CN"/>
        </w:rPr>
        <w:t xml:space="preserve">期：</w:t>
      </w:r>
      <w:r/>
    </w:p>
    <w:p>
      <w:pPr>
        <w:ind w:firstLine="4800"/>
        <w:rPr>
          <w:rFonts w:ascii="宋体" w:hAnsi="宋体"/>
          <w:bCs/>
          <w:color w:val="auto"/>
          <w:highlight w:val="none"/>
          <w:lang w:eastAsia="zh-CN"/>
        </w:rPr>
      </w:pPr>
      <w:r>
        <w:rPr>
          <w:rFonts w:ascii="宋体" w:hAnsi="宋体"/>
          <w:bCs/>
          <w:color w:val="auto"/>
          <w:highlight w:val="none"/>
          <w:lang w:eastAsia="zh-CN"/>
        </w:rPr>
      </w:r>
      <w:r/>
    </w:p>
    <w:p>
      <w:pPr>
        <w:ind w:firstLine="4800"/>
        <w:rPr>
          <w:rFonts w:ascii="宋体" w:hAnsi="宋体"/>
          <w:bCs/>
          <w:color w:val="auto"/>
          <w:highlight w:val="none"/>
          <w:lang w:eastAsia="zh-CN"/>
        </w:rPr>
      </w:pPr>
      <w:r>
        <w:rPr>
          <w:rFonts w:ascii="宋体" w:hAnsi="宋体"/>
          <w:bCs/>
          <w:color w:val="auto"/>
          <w:highlight w:val="none"/>
          <w:lang w:eastAsia="zh-CN"/>
        </w:rPr>
      </w:r>
      <w:r/>
    </w:p>
    <w:p>
      <w:pPr>
        <w:ind w:firstLine="480"/>
        <w:rPr>
          <w:rFonts w:ascii="宋体" w:hAnsi="宋体"/>
          <w:color w:val="auto"/>
          <w:highlight w:val="none"/>
          <w:lang w:eastAsia="zh-CN"/>
        </w:rPr>
      </w:pPr>
      <w:r>
        <w:rPr>
          <w:rFonts w:hint="eastAsia" w:ascii="宋体" w:hAnsi="宋体" w:cs="仿宋"/>
          <w:color w:val="auto"/>
          <w:highlight w:val="none"/>
          <w:lang w:eastAsia="zh-CN"/>
        </w:rPr>
        <w:t xml:space="preserve">备注：1、</w:t>
      </w:r>
      <w:r>
        <w:rPr>
          <w:rFonts w:hint="eastAsia" w:ascii="宋体" w:hAnsi="宋体"/>
          <w:color w:val="auto"/>
          <w:highlight w:val="none"/>
          <w:lang w:eastAsia="zh-CN"/>
        </w:rPr>
        <w:t xml:space="preserve">从业人员、营业收入、资产总额填报上一年度数据，无上一年度数据的新成立企业可不填报。</w:t>
      </w:r>
      <w:r/>
    </w:p>
    <w:p>
      <w:pPr>
        <w:ind w:firstLine="480"/>
        <w:rPr>
          <w:rFonts w:ascii="宋体" w:hAnsi="宋体"/>
          <w:color w:val="auto"/>
          <w:highlight w:val="none"/>
          <w:lang w:eastAsia="zh-CN"/>
        </w:rPr>
      </w:pPr>
      <w:r>
        <w:rPr>
          <w:rFonts w:hint="eastAsia" w:ascii="宋体" w:hAnsi="宋体"/>
          <w:color w:val="auto"/>
          <w:highlight w:val="none"/>
          <w:lang w:eastAsia="zh-CN"/>
        </w:rPr>
        <w:t xml:space="preserve">2.中标供应商的《中小企业声明函》将随中标公告进行公示。供应商按照本办法规定提供声明函内容不实的，属于提供虚假材料谋取中标，依照《中华人民共和国政府采购法》等国家有关规定追究相应责任。</w:t>
      </w:r>
      <w:bookmarkEnd w:id="38"/>
      <w:r/>
      <w:bookmarkEnd w:id="37"/>
      <w:r/>
      <w:r/>
    </w:p>
    <w:p>
      <w:pPr>
        <w:ind w:firstLine="602"/>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p>
    <w:p>
      <w:pPr>
        <w:ind w:firstLine="0"/>
        <w:jc w:val="both"/>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（八）残疾人福利性单位声明函（格式）：</w:t>
      </w:r>
      <w:r/>
    </w:p>
    <w:p>
      <w:pPr>
        <w:ind w:firstLine="480"/>
        <w:jc w:val="both"/>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widowControl w:val="off"/>
        <w:rPr>
          <w:rFonts w:ascii="宋体" w:hAnsi="宋体" w:cs="宋体"/>
          <w:bCs/>
          <w:color w:val="auto"/>
          <w:szCs w:val="24"/>
          <w:highlight w:val="none"/>
          <w:lang w:eastAsia="zh-CN"/>
        </w:rPr>
        <w:sectPr>
          <w:headerReference w:type="default" r:id="rId12"/>
          <w:headerReference w:type="even" r:id="rId13"/>
          <w:headerReference w:type="first" r:id="rId14"/>
          <w:footerReference w:type="default" r:id="rId18"/>
          <w:footerReference w:type="even" r:id="rId19"/>
          <w:footerReference w:type="first" r:id="rId20"/>
          <w:footnotePr/>
          <w:endnotePr/>
          <w:type w:val="nextPage"/>
          <w:pgSz w:w="11906" w:h="16838" w:orient="portrait"/>
          <w:pgMar w:top="1191" w:right="1503" w:bottom="851" w:left="1503" w:header="851" w:footer="510" w:gutter="0"/>
          <w:cols w:num="1" w:sep="0" w:space="425" w:equalWidth="1"/>
          <w:docGrid w:linePitch="360"/>
        </w:sectPr>
      </w:pPr>
      <w:r>
        <w:rPr>
          <w:rFonts w:hint="eastAsia" w:ascii="宋体" w:hAnsi="宋体" w:cs="宋体"/>
          <w:bCs/>
          <w:color w:val="auto"/>
          <w:szCs w:val="24"/>
          <w:highlight w:val="none"/>
          <w:lang w:eastAsia="zh-CN"/>
        </w:rPr>
        <w:t xml:space="preserve">                                                日  期：</w:t>
      </w:r>
      <w:r/>
    </w:p>
    <w:p>
      <w:pPr>
        <w:ind w:firstLine="0"/>
        <w:jc w:val="both"/>
        <w:spacing w:line="240" w:lineRule="auto"/>
        <w:widowControl w:val="off"/>
        <w:tabs>
          <w:tab w:val="left" w:pos="1936" w:leader="none"/>
        </w:tabs>
        <w:rPr>
          <w:color w:val="auto"/>
          <w:highlight w:val="none"/>
          <w:lang w:eastAsia="zh-CN"/>
        </w:rPr>
      </w:pPr>
      <w:r>
        <w:rPr>
          <w:rFonts w:hint="eastAsia" w:ascii="宋体" w:hAnsi="宋体"/>
          <w:b/>
          <w:bCs/>
          <w:color w:val="auto"/>
          <w:sz w:val="30"/>
          <w:szCs w:val="30"/>
          <w:highlight w:val="none"/>
          <w:lang w:eastAsia="zh-CN"/>
        </w:rPr>
        <w:t xml:space="preserve">（九）监狱企业证明材料：</w:t>
      </w:r>
      <w:r/>
    </w:p>
    <w:p>
      <w:pPr>
        <w:pStyle w:val="1010"/>
        <w:ind w:firstLine="0"/>
        <w:rPr>
          <w:color w:val="auto"/>
          <w:highlight w:val="none"/>
          <w:lang w:eastAsia="zh-CN"/>
        </w:rPr>
      </w:pPr>
      <w:r>
        <w:rPr>
          <w:color w:val="auto"/>
          <w:highlight w:val="none"/>
          <w:lang w:eastAsia="zh-CN"/>
        </w:rPr>
      </w:r>
      <w:r/>
    </w:p>
    <w:p>
      <w:pPr>
        <w:contextualSpacing/>
        <w:ind w:firstLine="480"/>
        <w:rPr>
          <w:rFonts w:ascii="宋体" w:hAnsi="宋体" w:cs="宋体"/>
          <w:bCs/>
          <w:color w:val="auto"/>
          <w:szCs w:val="24"/>
          <w:highlight w:val="none"/>
          <w:lang w:eastAsia="zh-CN"/>
        </w:rPr>
        <w:sectPr>
          <w:footnotePr/>
          <w:endnotePr/>
          <w:type w:val="nextPage"/>
          <w:pgSz w:w="11906" w:h="16838" w:orient="portrait"/>
          <w:pgMar w:top="1191" w:right="1503" w:bottom="851" w:left="1503" w:header="851" w:footer="510" w:gutter="0"/>
          <w:cols w:num="1" w:sep="0" w:space="425" w:equalWidth="1"/>
          <w:docGrid w:linePitch="360"/>
        </w:sectPr>
      </w:pPr>
      <w:r>
        <w:rPr>
          <w:rFonts w:hint="eastAsia" w:ascii="宋体" w:hAnsi="宋体"/>
          <w:color w:val="auto"/>
          <w:szCs w:val="24"/>
          <w:highlight w:val="none"/>
          <w:lang w:eastAsia="zh-CN"/>
        </w:rPr>
        <w:t xml:space="preserve">由投标供应商提供由省级以上监狱管理局、戒毒管理局（含新疆生产建设兵团）出具的属于监狱企业的证明文件。</w:t>
      </w:r>
      <w:r/>
    </w:p>
    <w:p>
      <w:pPr>
        <w:ind w:firstLine="0"/>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（十） 服务承诺（格式）：</w:t>
      </w:r>
      <w:r/>
    </w:p>
    <w:p>
      <w:pPr>
        <w:ind w:firstLine="0"/>
        <w:jc w:val="both"/>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center"/>
        <w:widowControl w:val="off"/>
        <w:rPr>
          <w:rFonts w:ascii="Times New Roman" w:hAnsi="Times New Roman" w:cs="Times New Roman"/>
          <w:b/>
          <w:color w:val="auto"/>
          <w:sz w:val="36"/>
          <w:szCs w:val="24"/>
          <w:highlight w:val="none"/>
          <w:lang w:eastAsia="zh-CN"/>
        </w:rPr>
      </w:pPr>
      <w:r>
        <w:rPr>
          <w:rFonts w:ascii="Times New Roman" w:hAnsi="Times New Roman" w:cs="Times New Roman"/>
          <w:b/>
          <w:color w:val="auto"/>
          <w:sz w:val="36"/>
          <w:szCs w:val="24"/>
          <w:highlight w:val="none"/>
          <w:lang w:eastAsia="zh-CN"/>
        </w:rPr>
      </w:r>
      <w:r/>
    </w:p>
    <w:p>
      <w:pPr>
        <w:ind w:firstLine="0"/>
        <w:jc w:val="both"/>
        <w:spacing w:before="5"/>
        <w:widowControl w:val="off"/>
        <w:rPr>
          <w:rFonts w:ascii="Times New Roman" w:hAnsi="Times New Roman" w:cs="Times New Roman"/>
          <w:b/>
          <w:color w:val="auto"/>
          <w:sz w:val="36"/>
          <w:szCs w:val="24"/>
          <w:highlight w:val="none"/>
          <w:lang w:eastAsia="zh-CN"/>
        </w:rPr>
      </w:pPr>
      <w:r>
        <w:rPr>
          <w:rFonts w:ascii="Times New Roman" w:hAnsi="Times New Roman" w:cs="Times New Roman"/>
          <w:b/>
          <w:color w:val="auto"/>
          <w:sz w:val="36"/>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采购项目编号：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w:t>
      </w:r>
      <w:r>
        <w:rPr>
          <w:rFonts w:hint="eastAsia" w:ascii="Times New Roman" w:hAnsi="Times New Roman" w:cs="Times New Roman"/>
          <w:color w:val="auto"/>
          <w:szCs w:val="24"/>
          <w:highlight w:val="none"/>
          <w:lang w:eastAsia="zh-CN"/>
        </w:rPr>
        <w:t xml:space="preserve">对</w:t>
      </w:r>
      <w:r>
        <w:rPr>
          <w:rFonts w:ascii="Times New Roman" w:hAnsi="Times New Roman" w:cs="Times New Roman"/>
          <w:color w:val="auto"/>
          <w:szCs w:val="24"/>
          <w:highlight w:val="none"/>
          <w:lang w:eastAsia="zh-CN"/>
        </w:rPr>
        <w:t xml:space="preserve">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文件作出实质性响应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shd w:val="nil" w:color="auto"/>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（十一） 偏离表（格式）：</w:t>
      </w:r>
      <w:r/>
    </w:p>
    <w:p>
      <w:pPr>
        <w:ind w:firstLine="490"/>
        <w:jc w:val="center"/>
        <w:rPr>
          <w:rFonts w:ascii="黑体" w:hAnsi="黑体" w:eastAsia="黑体"/>
          <w:bCs/>
          <w:color w:val="auto"/>
          <w:sz w:val="28"/>
          <w:szCs w:val="28"/>
          <w:highlight w:val="none"/>
          <w:lang w:eastAsia="zh-CN"/>
        </w:rPr>
        <w:outlineLvl w:val="0"/>
      </w:pPr>
      <w:r/>
      <w:bookmarkStart w:id="39" w:name="_Toc17007"/>
      <w:r/>
      <w:bookmarkStart w:id="40" w:name="_Toc19347"/>
      <w:r/>
      <w:bookmarkStart w:id="41" w:name="_Toc21728"/>
      <w:r/>
      <w:bookmarkStart w:id="42" w:name="_Toc11708"/>
      <w:r>
        <w:rPr>
          <w:rFonts w:hint="eastAsia" w:ascii="黑体" w:hAnsi="黑体" w:eastAsia="黑体"/>
          <w:bCs/>
          <w:color w:val="auto"/>
          <w:sz w:val="28"/>
          <w:szCs w:val="28"/>
          <w:highlight w:val="none"/>
          <w:lang w:eastAsia="zh-CN"/>
        </w:rPr>
        <w:t xml:space="preserve">投标偏离表</w:t>
      </w:r>
      <w:bookmarkEnd w:id="39"/>
      <w:r/>
      <w:bookmarkEnd w:id="40"/>
      <w:r/>
      <w:bookmarkEnd w:id="41"/>
      <w:r/>
      <w:bookmarkEnd w:id="42"/>
      <w:r/>
      <w:r/>
    </w:p>
    <w:p>
      <w:pPr>
        <w:ind w:firstLine="0"/>
        <w:spacing w:line="400" w:lineRule="exact"/>
        <w:rPr>
          <w:rFonts w:ascii="宋体" w:hAnsi="宋体"/>
          <w:b/>
          <w:bCs/>
          <w:color w:val="auto"/>
          <w:spacing w:val="20"/>
          <w:sz w:val="28"/>
          <w:szCs w:val="28"/>
          <w:highlight w:val="none"/>
          <w:lang w:eastAsia="zh-CN"/>
        </w:rPr>
      </w:pPr>
      <w:r>
        <w:rPr>
          <w:rFonts w:hint="eastAsia" w:ascii="宋体" w:hAnsi="宋体" w:cs="宋体"/>
          <w:b/>
          <w:color w:val="auto"/>
          <w:szCs w:val="24"/>
          <w:highlight w:val="none"/>
          <w:lang w:eastAsia="zh-CN"/>
        </w:rPr>
        <w:t xml:space="preserve">投标供应商名称（盖章）                                  采购项目编号：</w:t>
      </w:r>
      <w:r/>
    </w:p>
    <w:tbl>
      <w:tblPr>
        <w:tblStyle w:val="996"/>
        <w:tblW w:w="100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088"/>
        <w:gridCol w:w="5461"/>
        <w:gridCol w:w="2595"/>
      </w:tblGrid>
      <w:tr>
        <w:trPr>
          <w:jc w:val="center"/>
          <w:trHeight w:val="966"/>
        </w:trPr>
        <w:tc>
          <w:tcPr>
            <w:tcW w:w="900" w:type="dxa"/>
            <w:vAlign w:val="center"/>
            <w:textDirection w:val="lrTb"/>
            <w:noWrap w:val="false"/>
          </w:tcPr>
          <w:p>
            <w:pPr>
              <w:ind w:firstLine="0"/>
              <w:jc w:val="center"/>
              <w:spacing w:line="400" w:lineRule="exact"/>
              <w:rPr>
                <w:rFonts w:hint="eastAsia" w:ascii="宋体" w:hAnsi="宋体" w:eastAsia="宋体" w:cs="宋体"/>
                <w:b w:val="0"/>
                <w:bCs/>
                <w:color w:val="auto"/>
                <w:spacing w:val="20"/>
                <w:sz w:val="18"/>
                <w:szCs w:val="18"/>
                <w:highlight w:val="none"/>
              </w:rPr>
            </w:pPr>
            <w:r>
              <w:rPr>
                <w:rFonts w:hint="eastAsia" w:ascii="宋体" w:hAnsi="宋体" w:eastAsia="宋体" w:cs="宋体"/>
                <w:b w:val="0"/>
                <w:bCs/>
                <w:color w:val="auto"/>
                <w:spacing w:val="20"/>
                <w:sz w:val="18"/>
                <w:szCs w:val="18"/>
                <w:highlight w:val="none"/>
              </w:rPr>
              <w:t xml:space="preserve">序号</w:t>
            </w:r>
            <w:r/>
          </w:p>
        </w:tc>
        <w:tc>
          <w:tcPr>
            <w:tcW w:w="1088" w:type="dxa"/>
            <w:vAlign w:val="center"/>
            <w:textDirection w:val="lrTb"/>
            <w:noWrap w:val="false"/>
          </w:tcPr>
          <w:p>
            <w:pPr>
              <w:ind w:firstLine="0"/>
              <w:jc w:val="center"/>
              <w:spacing w:line="400" w:lineRule="exact"/>
              <w:rPr>
                <w:rFonts w:hint="eastAsia" w:ascii="宋体" w:hAnsi="宋体" w:eastAsia="宋体" w:cs="宋体"/>
                <w:b w:val="0"/>
                <w:bCs/>
                <w:color w:val="auto"/>
                <w:spacing w:val="20"/>
                <w:sz w:val="18"/>
                <w:szCs w:val="18"/>
                <w:highlight w:val="none"/>
              </w:rPr>
            </w:pPr>
            <w:r>
              <w:rPr>
                <w:rFonts w:hint="eastAsia" w:ascii="宋体" w:hAnsi="宋体" w:eastAsia="宋体" w:cs="宋体"/>
                <w:b w:val="0"/>
                <w:bCs/>
                <w:color w:val="auto"/>
                <w:spacing w:val="20"/>
                <w:sz w:val="18"/>
                <w:szCs w:val="18"/>
                <w:highlight w:val="none"/>
              </w:rPr>
              <w:t xml:space="preserve">投标货物名称</w:t>
            </w:r>
            <w:r/>
          </w:p>
        </w:tc>
        <w:tc>
          <w:tcPr>
            <w:tcW w:w="5461" w:type="dxa"/>
            <w:vAlign w:val="center"/>
            <w:textDirection w:val="lrTb"/>
            <w:noWrap w:val="false"/>
          </w:tcPr>
          <w:p>
            <w:pPr>
              <w:ind w:firstLine="0"/>
              <w:jc w:val="center"/>
              <w:spacing w:line="400" w:lineRule="exact"/>
              <w:rPr>
                <w:rFonts w:hint="eastAsia" w:ascii="宋体" w:hAnsi="宋体" w:eastAsia="宋体" w:cs="宋体"/>
                <w:b w:val="0"/>
                <w:bCs/>
                <w:color w:val="auto"/>
                <w:spacing w:val="20"/>
                <w:sz w:val="18"/>
                <w:szCs w:val="18"/>
                <w:highlight w:val="none"/>
              </w:rPr>
            </w:pPr>
            <w:r>
              <w:rPr>
                <w:rFonts w:hint="eastAsia" w:ascii="宋体" w:hAnsi="宋体" w:eastAsia="宋体" w:cs="宋体"/>
                <w:b w:val="0"/>
                <w:bCs/>
                <w:color w:val="auto"/>
                <w:spacing w:val="20"/>
                <w:sz w:val="18"/>
                <w:szCs w:val="18"/>
                <w:highlight w:val="none"/>
              </w:rPr>
              <w:t xml:space="preserve">招标技术要求</w:t>
            </w:r>
            <w:r/>
          </w:p>
        </w:tc>
        <w:tc>
          <w:tcPr>
            <w:tcW w:w="2595" w:type="dxa"/>
            <w:vAlign w:val="center"/>
            <w:textDirection w:val="lrTb"/>
            <w:noWrap w:val="false"/>
          </w:tcPr>
          <w:p>
            <w:pPr>
              <w:pStyle w:val="1003"/>
              <w:ind w:firstLine="0"/>
              <w:jc w:val="center"/>
              <w:spacing w:line="400" w:lineRule="exact"/>
              <w:tabs>
                <w:tab w:val="clear" w:pos="4153" w:leader="none"/>
                <w:tab w:val="clear" w:pos="8306" w:leader="none"/>
              </w:tabs>
              <w:rPr>
                <w:rFonts w:hint="eastAsia" w:ascii="宋体" w:hAnsi="宋体" w:eastAsia="宋体" w:cs="宋体"/>
                <w:b w:val="0"/>
                <w:bCs/>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eastAsia="zh-CN"/>
              </w:rPr>
              <w:t xml:space="preserve">投标货物技术指标描述选择项</w:t>
            </w:r>
            <w:r/>
          </w:p>
          <w:p>
            <w:pPr>
              <w:pStyle w:val="1003"/>
              <w:ind w:firstLine="0"/>
              <w:jc w:val="center"/>
              <w:spacing w:line="400" w:lineRule="exact"/>
              <w:tabs>
                <w:tab w:val="clear" w:pos="4153" w:leader="none"/>
                <w:tab w:val="clear" w:pos="8306" w:leader="none"/>
              </w:tabs>
              <w:rPr>
                <w:rFonts w:hint="eastAsia" w:ascii="宋体" w:hAnsi="宋体" w:eastAsia="宋体" w:cs="宋体"/>
                <w:b w:val="0"/>
                <w:bCs/>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eastAsia="zh-CN"/>
              </w:rPr>
              <w:t xml:space="preserve">（正偏离、负偏离或符合）</w:t>
            </w:r>
            <w:r/>
          </w:p>
        </w:tc>
      </w:tr>
      <w:tr>
        <w:trPr>
          <w:cantSplit/>
          <w:jc w:val="center"/>
          <w:trHeight w:val="7141"/>
        </w:trPr>
        <w:tc>
          <w:tcPr>
            <w:tcW w:w="900" w:type="dxa"/>
            <w:vAlign w:val="center"/>
            <w:textDirection w:val="lrTb"/>
            <w:noWrap w:val="false"/>
          </w:tcPr>
          <w:p>
            <w:pPr>
              <w:ind w:firstLine="560"/>
              <w:jc w:val="center"/>
              <w:spacing w:line="400" w:lineRule="exact"/>
              <w:rPr>
                <w:rFonts w:hint="eastAsia" w:ascii="宋体" w:hAnsi="宋体" w:eastAsia="宋体" w:cs="宋体"/>
                <w:color w:val="auto"/>
                <w:spacing w:val="20"/>
                <w:sz w:val="18"/>
                <w:szCs w:val="18"/>
                <w:highlight w:val="none"/>
                <w:lang w:val="en-US" w:eastAsia="zh-CN"/>
              </w:rPr>
            </w:pPr>
            <w:r>
              <w:rPr>
                <w:rFonts w:hint="eastAsia" w:ascii="宋体" w:hAnsi="宋体" w:eastAsia="宋体" w:cs="宋体"/>
                <w:color w:val="auto"/>
                <w:spacing w:val="20"/>
                <w:sz w:val="18"/>
                <w:szCs w:val="18"/>
                <w:highlight w:val="none"/>
                <w:lang w:val="en-US" w:eastAsia="zh-CN"/>
              </w:rPr>
              <w:t xml:space="preserve">1</w:t>
            </w:r>
            <w:r/>
          </w:p>
        </w:tc>
        <w:tc>
          <w:tcPr>
            <w:tcW w:w="1088" w:type="dxa"/>
            <w:vAlign w:val="center"/>
            <w:textDirection w:val="lrTb"/>
            <w:noWrap w:val="false"/>
          </w:tcPr>
          <w:p>
            <w:pPr>
              <w:ind w:left="0" w:firstLine="0"/>
              <w:jc w:val="center"/>
              <w:spacing w:line="360" w:lineRule="auto"/>
              <w:rPr>
                <w:rFonts w:hint="eastAsia" w:ascii="宋体" w:hAnsi="宋体" w:eastAsia="宋体" w:cs="宋体"/>
                <w:b/>
                <w:bCs/>
                <w:color w:val="auto"/>
                <w:sz w:val="18"/>
                <w:szCs w:val="18"/>
                <w:highlight w:val="none"/>
              </w:rPr>
            </w:pPr>
            <w:r>
              <w:rPr>
                <w:rFonts w:hint="eastAsia" w:ascii="宋体" w:hAnsi="宋体" w:eastAsia="宋体" w:cs="宋体"/>
                <w:b/>
                <w:bCs/>
                <w:color w:val="auto"/>
                <w:sz w:val="18"/>
                <w:szCs w:val="18"/>
                <w:highlight w:val="none"/>
              </w:rPr>
              <w:t xml:space="preserve">电离室</w:t>
            </w:r>
            <w:r/>
          </w:p>
          <w:p>
            <w:pPr>
              <w:ind w:left="0" w:firstLine="0"/>
              <w:jc w:val="center"/>
              <w:spacing w:line="360" w:lineRule="auto"/>
              <w:rPr>
                <w:rFonts w:hint="eastAsia" w:ascii="宋体" w:hAnsi="宋体" w:eastAsia="宋体" w:cs="宋体"/>
                <w:color w:val="auto"/>
                <w:sz w:val="18"/>
                <w:szCs w:val="18"/>
                <w:highlight w:val="none"/>
              </w:rPr>
            </w:pPr>
            <w:r>
              <w:rPr>
                <w:rFonts w:hint="eastAsia" w:ascii="宋体" w:hAnsi="宋体" w:eastAsia="宋体" w:cs="宋体"/>
                <w:b/>
                <w:bCs/>
                <w:color w:val="auto"/>
                <w:sz w:val="18"/>
                <w:szCs w:val="18"/>
                <w:highlight w:val="none"/>
              </w:rPr>
              <w:t xml:space="preserve">巡检仪</w:t>
            </w:r>
            <w:r/>
          </w:p>
          <w:p>
            <w:pPr>
              <w:ind w:left="0" w:firstLine="0"/>
              <w:jc w:val="center"/>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r>
            <w:r/>
          </w:p>
        </w:tc>
        <w:tc>
          <w:tcPr>
            <w:tcW w:w="5461" w:type="dxa"/>
            <w:textDirection w:val="lrTb"/>
            <w:noWrap w:val="false"/>
          </w:tcPr>
          <w:p>
            <w:pPr>
              <w:ind w:left="0" w:firstLine="0"/>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功能要求</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1.1需具备累计模式：在开启仪器后能连续工作30s，显示mR/h或R/h累计数值。</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1.2需具备保持模式：能保持并显示峰值，以及继续读取和显示当前的辐射值。</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1.3需具备模拟、数字式液晶显示。模拟</w:t>
            </w:r>
            <w:r>
              <w:rPr>
                <w:rFonts w:hint="eastAsia" w:ascii="宋体" w:hAnsi="宋体" w:cs="宋体"/>
                <w:color w:val="auto"/>
                <w:sz w:val="18"/>
                <w:szCs w:val="18"/>
                <w:highlight w:val="none"/>
                <w:lang w:eastAsia="zh-CN"/>
              </w:rPr>
              <w:t xml:space="preserve">显示</w:t>
            </w:r>
            <w:r>
              <w:rPr>
                <w:rFonts w:hint="eastAsia" w:ascii="宋体" w:hAnsi="宋体" w:eastAsia="宋体" w:cs="宋体"/>
                <w:color w:val="auto"/>
                <w:sz w:val="18"/>
                <w:szCs w:val="18"/>
                <w:highlight w:val="none"/>
              </w:rPr>
              <w:t xml:space="preserve">时能显示100个单元条形图，并各标有与仪器量程相应的值；数字显示时可根据仪器的操作量程，在21/2位显示后跟一个有效0位。</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1.4需具备低电压指示和保持模式指示功能。</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1.5预热时间：当仪器与环境温度平衡时，初始预热时间少于2 min。</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1.6 便携并方便挂在脖子上或者衣服上。</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2.技术要求</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2.1具备自动切换量程功能。</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2.2具备分段式量程：</w:t>
            </w:r>
            <w:r/>
          </w:p>
          <w:p>
            <w:pPr>
              <w:ind w:left="0" w:firstLine="0"/>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0～500μR/h or 0～5μSv/h</w:t>
            </w:r>
            <w:r/>
          </w:p>
          <w:p>
            <w:pPr>
              <w:ind w:left="0" w:firstLine="0"/>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2</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0～50 mR/h or 0～50μSv/h</w:t>
            </w:r>
            <w:r/>
          </w:p>
          <w:p>
            <w:pPr>
              <w:ind w:left="0" w:firstLine="0"/>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3</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0～50 mR/h or 0～500μSv/h</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（4）0～500 mR/h or 0～5 mSv/h</w:t>
            </w:r>
            <w:r/>
          </w:p>
          <w:p>
            <w:pPr>
              <w:ind w:left="0" w:firstLine="0"/>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5</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 0～5 R/h or 0～50 mSv/h</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2.3最大允许误差</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优于±10%</w:t>
            </w:r>
            <w:r/>
          </w:p>
          <w:p>
            <w:pPr>
              <w:ind w:left="0" w:firstLine="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rPr>
                <w:rFonts w:hint="eastAsia" w:ascii="宋体" w:hAnsi="宋体" w:cs="宋体"/>
                <w:color w:val="auto"/>
                <w:sz w:val="18"/>
                <w:szCs w:val="18"/>
                <w:highlight w:val="none"/>
                <w:lang w:eastAsia="zh-CN"/>
              </w:rPr>
              <w:t xml:space="preserve">其他</w:t>
            </w:r>
            <w:r>
              <w:rPr>
                <w:rFonts w:hint="eastAsia" w:ascii="宋体" w:hAnsi="宋体" w:eastAsia="宋体" w:cs="宋体"/>
                <w:color w:val="auto"/>
                <w:sz w:val="18"/>
                <w:szCs w:val="18"/>
                <w:highlight w:val="none"/>
              </w:rPr>
              <w:t xml:space="preserve">要求</w:t>
            </w:r>
            <w:r/>
          </w:p>
          <w:p>
            <w:pPr>
              <w:ind w:left="0" w:firstLine="0"/>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z w:val="18"/>
                <w:szCs w:val="18"/>
                <w:highlight w:val="none"/>
              </w:rPr>
              <w:t xml:space="preserve">3.1交付时需带有资质的法定计量检定机构或授权机构出具的溯源证书，证书内容应满足技术规格中标明的主要技术指标、参数、范围。</w:t>
            </w:r>
            <w:r/>
          </w:p>
        </w:tc>
        <w:tc>
          <w:tcPr>
            <w:tcW w:w="2595" w:type="dxa"/>
            <w:vAlign w:val="center"/>
            <w:textDirection w:val="lrTb"/>
            <w:noWrap w:val="false"/>
          </w:tcPr>
          <w:p>
            <w:pPr>
              <w:ind w:left="0" w:firstLine="0"/>
              <w:jc w:val="both"/>
              <w:spacing w:line="400" w:lineRule="exact"/>
              <w:rPr>
                <w:rFonts w:hint="eastAsia" w:ascii="宋体" w:hAnsi="宋体" w:eastAsia="宋体" w:cs="宋体"/>
                <w:b w:val="0"/>
                <w:bCs/>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eastAsia="zh-CN"/>
              </w:rPr>
              <w:t xml:space="preserve">正偏离：</w:t>
            </w:r>
            <w:r/>
          </w:p>
          <w:p>
            <w:pPr>
              <w:ind w:left="0" w:firstLine="0"/>
              <w:jc w:val="both"/>
              <w:spacing w:line="400" w:lineRule="exact"/>
              <w:rPr>
                <w:rFonts w:hint="eastAsia" w:ascii="宋体" w:hAnsi="宋体" w:eastAsia="宋体" w:cs="宋体"/>
                <w:b w:val="0"/>
                <w:bCs/>
                <w:color w:val="auto"/>
                <w:spacing w:val="20"/>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rPr>
                <w:rFonts w:hint="eastAsia" w:ascii="宋体" w:hAnsi="宋体" w:eastAsia="宋体" w:cs="宋体"/>
                <w:b w:val="0"/>
                <w:bCs/>
                <w:color w:val="auto"/>
                <w:spacing w:val="20"/>
                <w:sz w:val="18"/>
                <w:szCs w:val="18"/>
                <w:highlight w:val="none"/>
                <w:lang w:eastAsia="zh-CN"/>
              </w:rPr>
              <w:br/>
            </w:r>
            <w:r>
              <w:rPr>
                <w:rFonts w:hint="eastAsia" w:ascii="宋体" w:hAnsi="宋体" w:eastAsia="宋体" w:cs="宋体"/>
                <w:b w:val="0"/>
                <w:bCs/>
                <w:color w:val="auto"/>
                <w:spacing w:val="20"/>
                <w:sz w:val="18"/>
                <w:szCs w:val="18"/>
                <w:highlight w:val="none"/>
                <w:lang w:val="en-US" w:eastAsia="zh-CN"/>
              </w:rPr>
              <w:t xml:space="preserve">负偏离：</w:t>
            </w:r>
            <w:r/>
          </w:p>
          <w:p>
            <w:pPr>
              <w:ind w:left="0" w:firstLine="0"/>
              <w:jc w:val="both"/>
              <w:spacing w:line="400" w:lineRule="exact"/>
              <w:rPr>
                <w:rFonts w:hint="eastAsia" w:ascii="宋体" w:hAnsi="宋体" w:eastAsia="宋体" w:cs="宋体"/>
                <w:b w:val="0"/>
                <w:bCs/>
                <w:color w:val="auto"/>
                <w:spacing w:val="20"/>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rPr>
                <w:rFonts w:hint="eastAsia" w:ascii="宋体" w:hAnsi="宋体" w:eastAsia="宋体" w:cs="宋体"/>
                <w:b w:val="0"/>
                <w:bCs/>
                <w:color w:val="auto"/>
                <w:spacing w:val="20"/>
                <w:sz w:val="18"/>
                <w:szCs w:val="18"/>
                <w:highlight w:val="none"/>
                <w:lang w:val="en-US" w:eastAsia="zh-CN"/>
              </w:rPr>
              <w:br/>
            </w:r>
            <w:r>
              <w:rPr>
                <w:rFonts w:hint="eastAsia" w:ascii="宋体" w:hAnsi="宋体" w:eastAsia="宋体" w:cs="宋体"/>
                <w:b w:val="0"/>
                <w:bCs/>
                <w:color w:val="auto"/>
                <w:spacing w:val="20"/>
                <w:sz w:val="18"/>
                <w:szCs w:val="18"/>
                <w:highlight w:val="none"/>
                <w:lang w:val="en-US" w:eastAsia="zh-CN"/>
              </w:rPr>
              <w:t xml:space="preserve">符合：</w:t>
            </w:r>
            <w:r/>
          </w:p>
          <w:p>
            <w:pPr>
              <w:pStyle w:val="1003"/>
              <w:ind w:left="0" w:firstLine="0"/>
              <w:jc w:val="left"/>
              <w:rPr>
                <w:rFonts w:hint="eastAsia" w:ascii="宋体" w:hAnsi="宋体" w:eastAsia="宋体" w:cs="宋体"/>
                <w:color w:val="auto"/>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p>
        </w:tc>
      </w:tr>
      <w:tr>
        <w:trPr>
          <w:cantSplit/>
          <w:jc w:val="center"/>
          <w:trHeight w:val="3966"/>
        </w:trPr>
        <w:tc>
          <w:tcPr>
            <w:tcW w:w="900" w:type="dxa"/>
            <w:vAlign w:val="center"/>
            <w:textDirection w:val="lrTb"/>
            <w:noWrap w:val="false"/>
          </w:tcPr>
          <w:p>
            <w:pPr>
              <w:ind w:firstLine="560"/>
              <w:jc w:val="center"/>
              <w:spacing w:line="400" w:lineRule="exact"/>
              <w:rPr>
                <w:rFonts w:hint="eastAsia" w:ascii="宋体" w:hAnsi="宋体" w:eastAsia="宋体" w:cs="宋体"/>
                <w:color w:val="auto"/>
                <w:spacing w:val="20"/>
                <w:sz w:val="18"/>
                <w:szCs w:val="18"/>
                <w:highlight w:val="none"/>
                <w:lang w:val="en-US" w:eastAsia="zh-CN"/>
              </w:rPr>
            </w:pPr>
            <w:r>
              <w:rPr>
                <w:rFonts w:hint="eastAsia" w:ascii="宋体" w:hAnsi="宋体" w:eastAsia="宋体" w:cs="宋体"/>
                <w:color w:val="auto"/>
                <w:spacing w:val="20"/>
                <w:sz w:val="18"/>
                <w:szCs w:val="18"/>
                <w:highlight w:val="none"/>
                <w:lang w:val="en-US" w:eastAsia="zh-CN"/>
              </w:rPr>
              <w:t xml:space="preserve">2</w:t>
            </w:r>
            <w:r/>
          </w:p>
        </w:tc>
        <w:tc>
          <w:tcPr>
            <w:tcW w:w="1088" w:type="dxa"/>
            <w:vAlign w:val="center"/>
            <w:textDirection w:val="lrTb"/>
            <w:noWrap w:val="false"/>
          </w:tcPr>
          <w:p>
            <w:pPr>
              <w:ind w:left="0" w:firstLine="0"/>
              <w:jc w:val="center"/>
              <w:spacing w:line="400" w:lineRule="exact"/>
              <w:rPr>
                <w:rFonts w:hint="eastAsia" w:ascii="宋体" w:hAnsi="宋体" w:eastAsia="宋体" w:cs="宋体"/>
                <w:b/>
                <w:bCs/>
                <w:color w:val="auto"/>
                <w:spacing w:val="20"/>
                <w:sz w:val="18"/>
                <w:szCs w:val="18"/>
                <w:highlight w:val="none"/>
                <w:lang w:eastAsia="zh-CN"/>
              </w:rPr>
            </w:pPr>
            <w:r>
              <w:rPr>
                <w:rFonts w:hint="eastAsia" w:ascii="宋体" w:hAnsi="宋体" w:eastAsia="宋体" w:cs="宋体"/>
                <w:b/>
                <w:bCs/>
                <w:color w:val="auto"/>
                <w:sz w:val="18"/>
                <w:szCs w:val="18"/>
                <w:highlight w:val="none"/>
              </w:rPr>
              <w:t xml:space="preserve">高斯计</w:t>
            </w:r>
            <w:r/>
          </w:p>
        </w:tc>
        <w:tc>
          <w:tcPr>
            <w:tcW w:w="5461" w:type="dxa"/>
            <w:vAlign w:val="center"/>
            <w:textDirection w:val="lrTb"/>
            <w:noWrap w:val="false"/>
          </w:tcPr>
          <w:p>
            <w:pPr>
              <w:ind w:firstLine="560"/>
              <w:rPr>
                <w:rFonts w:hint="eastAsia" w:ascii="宋体" w:hAnsi="宋体" w:eastAsia="宋体" w:cs="宋体"/>
                <w:color w:val="auto"/>
                <w:sz w:val="18"/>
                <w:szCs w:val="18"/>
                <w:highlight w:val="none"/>
              </w:rPr>
            </w:pPr>
            <w:r>
              <w:rPr>
                <w:rFonts w:hint="eastAsia" w:ascii="宋体" w:hAnsi="宋体" w:cs="宋体"/>
                <w:color w:val="auto"/>
                <w:sz w:val="18"/>
                <w:szCs w:val="18"/>
                <w:highlight w:val="none"/>
                <w:lang w:eastAsia="zh-CN"/>
              </w:rPr>
              <w:t xml:space="preserve">1.</w:t>
            </w:r>
            <w:r>
              <w:rPr>
                <w:rFonts w:hint="eastAsia" w:ascii="宋体" w:hAnsi="宋体" w:eastAsia="宋体" w:cs="宋体"/>
                <w:color w:val="auto"/>
                <w:sz w:val="18"/>
                <w:szCs w:val="18"/>
                <w:highlight w:val="none"/>
              </w:rPr>
              <w:t xml:space="preserve">功能要求</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1.1需具备IEEE-488数据接口和通讯功能。</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1.2需配备具有温度补偿功能的配套探头，探头磁场为横向探头。</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1.3</w:t>
            </w:r>
            <w:r>
              <w:rPr>
                <w:rFonts w:hint="eastAsia" w:ascii="宋体" w:hAnsi="宋体" w:cs="宋体"/>
                <w:color w:val="auto"/>
                <w:sz w:val="18"/>
                <w:szCs w:val="18"/>
                <w:highlight w:val="none"/>
                <w:lang w:eastAsia="zh-CN"/>
              </w:rPr>
              <w:t xml:space="preserve">须具备</w:t>
            </w:r>
            <w:r>
              <w:rPr>
                <w:rFonts w:hint="eastAsia" w:ascii="宋体" w:hAnsi="宋体" w:eastAsia="宋体" w:cs="宋体"/>
                <w:color w:val="auto"/>
                <w:sz w:val="18"/>
                <w:szCs w:val="18"/>
                <w:highlight w:val="none"/>
              </w:rPr>
              <w:t xml:space="preserve">直流测量模式、RMS测量模式、峰值测量模式。</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2.技术要求</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2.1主机测量范围</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1mT～2T，DC～50 kHz频率范围。</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2.2直流测量分辨率至0.02mGs。</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▲2.3准确度等级</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0.05级。</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▲2.4探头测量范围：DC～800Hz，3.6Gs～35kGs。</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2.5测量频率：DC to 50 kHz。</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2.6需≥15个通带和3个低通交流滤波。</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2.7数据缓冲器采样率不小于每秒1000个读数。</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2.8峰值捕获至20μs脉宽。</w:t>
            </w:r>
            <w:r/>
          </w:p>
          <w:p>
            <w:pPr>
              <w:ind w:firstLine="5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3.其它要求</w:t>
            </w:r>
            <w:r/>
          </w:p>
          <w:p>
            <w:pPr>
              <w:ind w:firstLine="560"/>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z w:val="18"/>
                <w:szCs w:val="18"/>
                <w:highlight w:val="none"/>
              </w:rPr>
              <w:t xml:space="preserve">3.1交付时需带有资质的法定计量检定机构或授权机构出具的溯源证书，证书内容应满足技术规格中标明的主要技术指标、参数、范围。</w:t>
            </w:r>
            <w:r/>
          </w:p>
        </w:tc>
        <w:tc>
          <w:tcPr>
            <w:tcW w:w="2595" w:type="dxa"/>
            <w:vAlign w:val="center"/>
            <w:textDirection w:val="lrTb"/>
            <w:noWrap w:val="false"/>
          </w:tcPr>
          <w:p>
            <w:pPr>
              <w:ind w:left="0" w:firstLine="0"/>
              <w:jc w:val="both"/>
              <w:spacing w:line="400" w:lineRule="exact"/>
              <w:rPr>
                <w:rFonts w:hint="eastAsia" w:ascii="宋体" w:hAnsi="宋体" w:eastAsia="宋体" w:cs="宋体"/>
                <w:b w:val="0"/>
                <w:bCs/>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eastAsia="zh-CN"/>
              </w:rPr>
              <w:t xml:space="preserve">正偏离：</w:t>
            </w:r>
            <w:r/>
          </w:p>
          <w:p>
            <w:pPr>
              <w:ind w:left="0" w:firstLine="0"/>
              <w:jc w:val="both"/>
              <w:spacing w:line="400" w:lineRule="exact"/>
              <w:rPr>
                <w:rFonts w:hint="eastAsia" w:ascii="宋体" w:hAnsi="宋体" w:eastAsia="宋体" w:cs="宋体"/>
                <w:b w:val="0"/>
                <w:bCs/>
                <w:color w:val="auto"/>
                <w:spacing w:val="20"/>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rPr>
                <w:rFonts w:hint="eastAsia" w:ascii="宋体" w:hAnsi="宋体" w:eastAsia="宋体" w:cs="宋体"/>
                <w:b w:val="0"/>
                <w:bCs/>
                <w:color w:val="auto"/>
                <w:spacing w:val="20"/>
                <w:sz w:val="18"/>
                <w:szCs w:val="18"/>
                <w:highlight w:val="none"/>
                <w:lang w:eastAsia="zh-CN"/>
              </w:rPr>
              <w:br/>
            </w:r>
            <w:r>
              <w:rPr>
                <w:rFonts w:hint="eastAsia" w:ascii="宋体" w:hAnsi="宋体" w:eastAsia="宋体" w:cs="宋体"/>
                <w:b w:val="0"/>
                <w:bCs/>
                <w:color w:val="auto"/>
                <w:spacing w:val="20"/>
                <w:sz w:val="18"/>
                <w:szCs w:val="18"/>
                <w:highlight w:val="none"/>
                <w:lang w:val="en-US" w:eastAsia="zh-CN"/>
              </w:rPr>
              <w:t xml:space="preserve">负偏离：</w:t>
            </w:r>
            <w:r/>
          </w:p>
          <w:p>
            <w:pPr>
              <w:ind w:left="0" w:firstLine="0"/>
              <w:jc w:val="both"/>
              <w:spacing w:line="400" w:lineRule="exact"/>
              <w:rPr>
                <w:rFonts w:hint="eastAsia" w:ascii="宋体" w:hAnsi="宋体" w:eastAsia="宋体" w:cs="宋体"/>
                <w:b w:val="0"/>
                <w:bCs/>
                <w:color w:val="auto"/>
                <w:spacing w:val="20"/>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rPr>
                <w:rFonts w:hint="eastAsia" w:ascii="宋体" w:hAnsi="宋体" w:eastAsia="宋体" w:cs="宋体"/>
                <w:b w:val="0"/>
                <w:bCs/>
                <w:color w:val="auto"/>
                <w:spacing w:val="20"/>
                <w:sz w:val="18"/>
                <w:szCs w:val="18"/>
                <w:highlight w:val="none"/>
                <w:lang w:val="en-US" w:eastAsia="zh-CN"/>
              </w:rPr>
              <w:br/>
            </w:r>
            <w:r>
              <w:rPr>
                <w:rFonts w:hint="eastAsia" w:ascii="宋体" w:hAnsi="宋体" w:eastAsia="宋体" w:cs="宋体"/>
                <w:b w:val="0"/>
                <w:bCs/>
                <w:color w:val="auto"/>
                <w:spacing w:val="20"/>
                <w:sz w:val="18"/>
                <w:szCs w:val="18"/>
                <w:highlight w:val="none"/>
                <w:lang w:val="en-US" w:eastAsia="zh-CN"/>
              </w:rPr>
              <w:t xml:space="preserve">符合：</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val="en-US" w:eastAsia="zh-CN"/>
              </w:rPr>
              <w:t xml:space="preserve">1.</w:t>
            </w:r>
            <w:r/>
          </w:p>
        </w:tc>
      </w:tr>
      <w:tr>
        <w:trPr>
          <w:cantSplit/>
          <w:jc w:val="center"/>
          <w:trHeight w:val="499"/>
        </w:trPr>
        <w:tc>
          <w:tcPr>
            <w:tcW w:w="900" w:type="dxa"/>
            <w:vAlign w:val="center"/>
            <w:textDirection w:val="lrTb"/>
            <w:noWrap w:val="false"/>
          </w:tcPr>
          <w:p>
            <w:pPr>
              <w:ind w:firstLine="560"/>
              <w:jc w:val="center"/>
              <w:spacing w:line="400" w:lineRule="exact"/>
              <w:rPr>
                <w:rFonts w:hint="eastAsia" w:ascii="宋体" w:hAnsi="宋体" w:eastAsia="宋体" w:cs="宋体"/>
                <w:color w:val="auto"/>
                <w:spacing w:val="20"/>
                <w:sz w:val="18"/>
                <w:szCs w:val="18"/>
                <w:highlight w:val="none"/>
                <w:lang w:val="en-US" w:eastAsia="zh-CN"/>
              </w:rPr>
            </w:pPr>
            <w:r>
              <w:rPr>
                <w:rFonts w:hint="eastAsia" w:ascii="宋体" w:hAnsi="宋体" w:eastAsia="宋体" w:cs="宋体"/>
                <w:color w:val="auto"/>
                <w:spacing w:val="20"/>
                <w:sz w:val="18"/>
                <w:szCs w:val="18"/>
                <w:highlight w:val="none"/>
                <w:lang w:val="en-US" w:eastAsia="zh-CN"/>
              </w:rPr>
              <w:t xml:space="preserve">3</w:t>
            </w:r>
            <w:r/>
          </w:p>
        </w:tc>
        <w:tc>
          <w:tcPr>
            <w:tcW w:w="1088" w:type="dxa"/>
            <w:vAlign w:val="center"/>
            <w:textDirection w:val="lrTb"/>
            <w:noWrap w:val="false"/>
          </w:tcPr>
          <w:p>
            <w:pPr>
              <w:ind w:left="0" w:firstLine="0"/>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阻抗</w:t>
            </w:r>
            <w:r/>
          </w:p>
          <w:p>
            <w:pPr>
              <w:ind w:left="0" w:firstLine="0"/>
              <w:jc w:val="center"/>
              <w:spacing w:line="360" w:lineRule="auto"/>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探头</w:t>
            </w:r>
            <w:r/>
          </w:p>
          <w:p>
            <w:pPr>
              <w:ind w:left="0" w:firstLine="0"/>
              <w:jc w:val="center"/>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r>
            <w:r/>
          </w:p>
        </w:tc>
        <w:tc>
          <w:tcPr>
            <w:tcW w:w="5461" w:type="dxa"/>
            <w:vAlign w:val="center"/>
            <w:textDirection w:val="lrTb"/>
            <w:noWrap w:val="false"/>
          </w:tcPr>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1.功能要求</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1.1阻抗探头套件需适配E4990A-120等主流阻抗分析仪。</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1.2需能够进行电路内测量（印刷电路图案、电路的输入/输出阻抗等）。</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1.3需具有阻抗扫描测量功能。</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1.4被测设备可以通过使用针探头、夹子导线（鳄鱼夹适配器）或 BNC 适配器连接。</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2.技术要求</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2.1频率范围：20 Hz～120 MHz。</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▲2.2电压范围：±40V。</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2.3基本精度：±1%。</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2.4探头适配类型：需可适配针式探头、夹式探头、BNC适配器等。</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2.5工作温度：(-20～75)°C。</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3.其它要求</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3.1交付时需带有资质的法定计量检定机构或授权机构出具的溯源证书，证书内容应满足技术规格中标明的主要技术指标、参数、范围。</w:t>
            </w:r>
            <w:r/>
          </w:p>
        </w:tc>
        <w:tc>
          <w:tcPr>
            <w:tcW w:w="2595" w:type="dxa"/>
            <w:vAlign w:val="center"/>
            <w:textDirection w:val="lrTb"/>
            <w:noWrap w:val="false"/>
          </w:tcPr>
          <w:p>
            <w:pPr>
              <w:ind w:left="0" w:firstLine="0"/>
              <w:jc w:val="both"/>
              <w:spacing w:line="400" w:lineRule="exact"/>
              <w:rPr>
                <w:rFonts w:hint="eastAsia" w:ascii="宋体" w:hAnsi="宋体" w:eastAsia="宋体" w:cs="宋体"/>
                <w:b w:val="0"/>
                <w:bCs/>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eastAsia="zh-CN"/>
              </w:rPr>
              <w:t xml:space="preserve">正偏离：</w:t>
            </w:r>
            <w:r/>
          </w:p>
          <w:p>
            <w:pPr>
              <w:ind w:left="0" w:firstLine="0"/>
              <w:jc w:val="both"/>
              <w:spacing w:line="400" w:lineRule="exact"/>
              <w:rPr>
                <w:rFonts w:hint="eastAsia" w:ascii="宋体" w:hAnsi="宋体" w:eastAsia="宋体" w:cs="宋体"/>
                <w:b w:val="0"/>
                <w:bCs/>
                <w:color w:val="auto"/>
                <w:spacing w:val="20"/>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rPr>
                <w:rFonts w:hint="eastAsia" w:ascii="宋体" w:hAnsi="宋体" w:eastAsia="宋体" w:cs="宋体"/>
                <w:b w:val="0"/>
                <w:bCs/>
                <w:color w:val="auto"/>
                <w:spacing w:val="20"/>
                <w:sz w:val="18"/>
                <w:szCs w:val="18"/>
                <w:highlight w:val="none"/>
                <w:lang w:eastAsia="zh-CN"/>
              </w:rPr>
              <w:br/>
            </w:r>
            <w:r>
              <w:rPr>
                <w:rFonts w:hint="eastAsia" w:ascii="宋体" w:hAnsi="宋体" w:eastAsia="宋体" w:cs="宋体"/>
                <w:b w:val="0"/>
                <w:bCs/>
                <w:color w:val="auto"/>
                <w:spacing w:val="20"/>
                <w:sz w:val="18"/>
                <w:szCs w:val="18"/>
                <w:highlight w:val="none"/>
                <w:lang w:val="en-US" w:eastAsia="zh-CN"/>
              </w:rPr>
              <w:t xml:space="preserve">负偏离：</w:t>
            </w:r>
            <w:r/>
          </w:p>
          <w:p>
            <w:pPr>
              <w:ind w:left="0" w:firstLine="0"/>
              <w:jc w:val="both"/>
              <w:spacing w:line="400" w:lineRule="exact"/>
              <w:rPr>
                <w:rFonts w:hint="eastAsia" w:ascii="宋体" w:hAnsi="宋体" w:eastAsia="宋体" w:cs="宋体"/>
                <w:b w:val="0"/>
                <w:bCs/>
                <w:color w:val="auto"/>
                <w:spacing w:val="20"/>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rPr>
                <w:rFonts w:hint="eastAsia" w:ascii="宋体" w:hAnsi="宋体" w:eastAsia="宋体" w:cs="宋体"/>
                <w:b w:val="0"/>
                <w:bCs/>
                <w:color w:val="auto"/>
                <w:spacing w:val="20"/>
                <w:sz w:val="18"/>
                <w:szCs w:val="18"/>
                <w:highlight w:val="none"/>
                <w:lang w:val="en-US" w:eastAsia="zh-CN"/>
              </w:rPr>
              <w:br/>
            </w:r>
            <w:r>
              <w:rPr>
                <w:rFonts w:hint="eastAsia" w:ascii="宋体" w:hAnsi="宋体" w:eastAsia="宋体" w:cs="宋体"/>
                <w:b w:val="0"/>
                <w:bCs/>
                <w:color w:val="auto"/>
                <w:spacing w:val="20"/>
                <w:sz w:val="18"/>
                <w:szCs w:val="18"/>
                <w:highlight w:val="none"/>
                <w:lang w:val="en-US" w:eastAsia="zh-CN"/>
              </w:rPr>
              <w:t xml:space="preserve">符合：</w:t>
            </w:r>
            <w:r/>
          </w:p>
          <w:p>
            <w:pPr>
              <w:ind w:left="0" w:firstLine="0"/>
              <w:jc w:val="both"/>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val="en-US" w:eastAsia="zh-CN"/>
              </w:rPr>
              <w:t xml:space="preserve">1.</w:t>
            </w:r>
            <w:r/>
          </w:p>
        </w:tc>
      </w:tr>
      <w:tr>
        <w:trPr>
          <w:cantSplit/>
          <w:jc w:val="center"/>
          <w:trHeight w:val="499"/>
        </w:trPr>
        <w:tc>
          <w:tcPr>
            <w:tcW w:w="900" w:type="dxa"/>
            <w:vAlign w:val="center"/>
            <w:textDirection w:val="lrTb"/>
            <w:noWrap w:val="false"/>
          </w:tcPr>
          <w:p>
            <w:pPr>
              <w:ind w:firstLine="560"/>
              <w:jc w:val="center"/>
              <w:spacing w:line="400" w:lineRule="exact"/>
              <w:rPr>
                <w:rFonts w:hint="eastAsia" w:ascii="宋体" w:hAnsi="宋体" w:eastAsia="宋体" w:cs="宋体"/>
                <w:color w:val="auto"/>
                <w:spacing w:val="20"/>
                <w:sz w:val="18"/>
                <w:szCs w:val="18"/>
                <w:highlight w:val="none"/>
                <w:lang w:val="en-US" w:eastAsia="zh-CN"/>
              </w:rPr>
            </w:pPr>
            <w:r>
              <w:rPr>
                <w:rFonts w:hint="eastAsia" w:ascii="宋体" w:hAnsi="宋体" w:eastAsia="宋体" w:cs="宋体"/>
                <w:color w:val="auto"/>
                <w:spacing w:val="20"/>
                <w:sz w:val="18"/>
                <w:szCs w:val="18"/>
                <w:highlight w:val="none"/>
                <w:lang w:val="en-US" w:eastAsia="zh-CN"/>
              </w:rPr>
              <w:t xml:space="preserve">4</w:t>
            </w:r>
            <w:r/>
          </w:p>
        </w:tc>
        <w:tc>
          <w:tcPr>
            <w:tcW w:w="1088" w:type="dxa"/>
            <w:vAlign w:val="center"/>
            <w:textDirection w:val="lrTb"/>
            <w:noWrap w:val="false"/>
          </w:tcPr>
          <w:p>
            <w:pPr>
              <w:ind w:left="0" w:firstLine="0"/>
              <w:jc w:val="center"/>
              <w:spacing w:line="400" w:lineRule="exact"/>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端子</w:t>
            </w:r>
            <w:r/>
          </w:p>
          <w:p>
            <w:pPr>
              <w:ind w:left="0" w:firstLine="0"/>
              <w:jc w:val="center"/>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b/>
                <w:color w:val="auto"/>
                <w:sz w:val="18"/>
                <w:szCs w:val="18"/>
                <w:highlight w:val="none"/>
              </w:rPr>
              <w:t xml:space="preserve">适配器</w:t>
            </w:r>
            <w:r/>
          </w:p>
        </w:tc>
        <w:tc>
          <w:tcPr>
            <w:tcW w:w="5461" w:type="dxa"/>
            <w:vAlign w:val="center"/>
            <w:textDirection w:val="lrTb"/>
            <w:noWrap w:val="false"/>
          </w:tcPr>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1.功能要求</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1.1终端适配器需实现将仪器的终端配置转化为7毫米的终端配置，即没有7毫米终端连接器的仪器可以使用带有7毫米终端连接器的测试夹具。</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1.2具备可将4终端对配置转换为7毫米终端连接器，适配与E4990A一起使用。</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2.技术要求</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▲2.1频率范围：40 Hz至110 MHz。</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▲2.2电压范围：±40V。</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2.3工作温度：0°C 至 +40°C。</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2.4接口类型：输入：4-Terminal Pair BNC（连接仪器）；输出：7 mm同轴接口（连接夹具）。</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2.5尺寸：不大于190mm (W)× 55mm (H)×140mm (D</w:t>
            </w:r>
            <w:r>
              <w:rPr>
                <w:rFonts w:hint="eastAsia" w:ascii="宋体" w:hAnsi="宋体" w:cs="宋体"/>
                <w:color w:val="auto"/>
                <w:sz w:val="18"/>
                <w:szCs w:val="18"/>
                <w:highlight w:val="none"/>
                <w:lang w:eastAsia="zh-CN"/>
              </w:rPr>
              <w:t xml:space="preserve">）</w:t>
            </w:r>
            <w:r>
              <w:rPr>
                <w:rFonts w:hint="eastAsia" w:ascii="宋体" w:hAnsi="宋体" w:eastAsia="宋体" w:cs="宋体"/>
                <w:color w:val="auto"/>
                <w:sz w:val="18"/>
                <w:szCs w:val="18"/>
                <w:highlight w:val="none"/>
              </w:rPr>
              <w:t xml:space="preserve">。</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2.6重量不大于800g。</w:t>
            </w:r>
            <w:r/>
          </w:p>
          <w:p>
            <w:pPr>
              <w:ind w:firstLine="560"/>
              <w:jc w:val="left"/>
              <w:spacing w:line="400" w:lineRule="exact"/>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 xml:space="preserve">3.</w:t>
            </w:r>
            <w:r>
              <w:rPr>
                <w:rFonts w:hint="eastAsia" w:ascii="宋体" w:hAnsi="宋体" w:cs="宋体"/>
                <w:color w:val="auto"/>
                <w:sz w:val="18"/>
                <w:szCs w:val="18"/>
                <w:highlight w:val="none"/>
                <w:lang w:eastAsia="zh-CN"/>
              </w:rPr>
              <w:t xml:space="preserve">其他</w:t>
            </w:r>
            <w:r>
              <w:rPr>
                <w:rFonts w:hint="eastAsia" w:ascii="宋体" w:hAnsi="宋体" w:eastAsia="宋体" w:cs="宋体"/>
                <w:color w:val="auto"/>
                <w:sz w:val="18"/>
                <w:szCs w:val="18"/>
                <w:highlight w:val="none"/>
              </w:rPr>
              <w:t xml:space="preserve">要求</w:t>
            </w:r>
            <w:r/>
          </w:p>
          <w:p>
            <w:pPr>
              <w:ind w:firstLine="56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z w:val="18"/>
                <w:szCs w:val="18"/>
                <w:highlight w:val="none"/>
              </w:rPr>
              <w:t xml:space="preserve">3.1交付时需带有资质的法定计量检定机构或授权机构出具的溯源证书，证书内容应满足技术规格中标明的主要技术指标、参数、范围。</w:t>
            </w:r>
            <w:r/>
          </w:p>
        </w:tc>
        <w:tc>
          <w:tcPr>
            <w:tcW w:w="2595" w:type="dxa"/>
            <w:vAlign w:val="center"/>
            <w:textDirection w:val="lrTb"/>
            <w:noWrap w:val="false"/>
          </w:tcPr>
          <w:p>
            <w:pPr>
              <w:ind w:left="0" w:firstLine="0"/>
              <w:jc w:val="both"/>
              <w:spacing w:line="400" w:lineRule="exact"/>
              <w:rPr>
                <w:rFonts w:hint="eastAsia" w:ascii="宋体" w:hAnsi="宋体" w:eastAsia="宋体" w:cs="宋体"/>
                <w:b w:val="0"/>
                <w:bCs/>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eastAsia="zh-CN"/>
              </w:rPr>
              <w:t xml:space="preserve">正偏离：</w:t>
            </w:r>
            <w:r/>
          </w:p>
          <w:p>
            <w:pPr>
              <w:ind w:left="0" w:firstLine="0"/>
              <w:jc w:val="both"/>
              <w:spacing w:line="400" w:lineRule="exact"/>
              <w:rPr>
                <w:rFonts w:hint="eastAsia" w:ascii="宋体" w:hAnsi="宋体" w:eastAsia="宋体" w:cs="宋体"/>
                <w:b w:val="0"/>
                <w:bCs/>
                <w:color w:val="auto"/>
                <w:spacing w:val="20"/>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rPr>
                <w:rFonts w:hint="eastAsia" w:ascii="宋体" w:hAnsi="宋体" w:eastAsia="宋体" w:cs="宋体"/>
                <w:b w:val="0"/>
                <w:bCs/>
                <w:color w:val="auto"/>
                <w:spacing w:val="20"/>
                <w:sz w:val="18"/>
                <w:szCs w:val="18"/>
                <w:highlight w:val="none"/>
                <w:lang w:eastAsia="zh-CN"/>
              </w:rPr>
              <w:br/>
            </w:r>
            <w:r>
              <w:rPr>
                <w:rFonts w:hint="eastAsia" w:ascii="宋体" w:hAnsi="宋体" w:eastAsia="宋体" w:cs="宋体"/>
                <w:b w:val="0"/>
                <w:bCs/>
                <w:color w:val="auto"/>
                <w:spacing w:val="20"/>
                <w:sz w:val="18"/>
                <w:szCs w:val="18"/>
                <w:highlight w:val="none"/>
                <w:lang w:val="en-US" w:eastAsia="zh-CN"/>
              </w:rPr>
              <w:t xml:space="preserve">负偏离：</w:t>
            </w:r>
            <w:r/>
          </w:p>
          <w:p>
            <w:pPr>
              <w:ind w:left="0" w:firstLine="0"/>
              <w:jc w:val="both"/>
              <w:spacing w:line="400" w:lineRule="exact"/>
              <w:rPr>
                <w:rFonts w:hint="eastAsia" w:ascii="宋体" w:hAnsi="宋体" w:eastAsia="宋体" w:cs="宋体"/>
                <w:b w:val="0"/>
                <w:bCs/>
                <w:color w:val="auto"/>
                <w:spacing w:val="20"/>
                <w:sz w:val="18"/>
                <w:szCs w:val="18"/>
                <w:highlight w:val="none"/>
                <w:lang w:val="en-US" w:eastAsia="zh-CN"/>
              </w:rPr>
            </w:pPr>
            <w:r>
              <w:rPr>
                <w:rFonts w:hint="eastAsia" w:ascii="宋体" w:hAnsi="宋体" w:eastAsia="宋体" w:cs="宋体"/>
                <w:b w:val="0"/>
                <w:bCs/>
                <w:color w:val="auto"/>
                <w:spacing w:val="20"/>
                <w:sz w:val="18"/>
                <w:szCs w:val="18"/>
                <w:highlight w:val="none"/>
                <w:lang w:val="en-US" w:eastAsia="zh-CN"/>
              </w:rPr>
              <w:t xml:space="preserve">1.</w:t>
            </w:r>
            <w:r>
              <w:rPr>
                <w:rFonts w:hint="eastAsia" w:ascii="宋体" w:hAnsi="宋体" w:eastAsia="宋体" w:cs="宋体"/>
                <w:b w:val="0"/>
                <w:bCs/>
                <w:color w:val="auto"/>
                <w:spacing w:val="20"/>
                <w:sz w:val="18"/>
                <w:szCs w:val="18"/>
                <w:highlight w:val="none"/>
                <w:lang w:val="en-US" w:eastAsia="zh-CN"/>
              </w:rPr>
              <w:br/>
            </w:r>
            <w:r>
              <w:rPr>
                <w:rFonts w:hint="eastAsia" w:ascii="宋体" w:hAnsi="宋体" w:eastAsia="宋体" w:cs="宋体"/>
                <w:b w:val="0"/>
                <w:bCs/>
                <w:color w:val="auto"/>
                <w:spacing w:val="20"/>
                <w:sz w:val="18"/>
                <w:szCs w:val="18"/>
                <w:highlight w:val="none"/>
                <w:lang w:val="en-US" w:eastAsia="zh-CN"/>
              </w:rPr>
              <w:t xml:space="preserve">符合：</w:t>
            </w:r>
            <w:r/>
          </w:p>
          <w:p>
            <w:pPr>
              <w:ind w:left="0" w:firstLine="0"/>
              <w:jc w:val="both"/>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b w:val="0"/>
                <w:bCs/>
                <w:color w:val="auto"/>
                <w:spacing w:val="20"/>
                <w:sz w:val="18"/>
                <w:szCs w:val="18"/>
                <w:highlight w:val="none"/>
                <w:lang w:val="en-US" w:eastAsia="zh-CN"/>
              </w:rPr>
              <w:t xml:space="preserve">1.</w:t>
            </w:r>
            <w:r/>
          </w:p>
        </w:tc>
      </w:tr>
      <w:tr>
        <w:trPr>
          <w:cantSplit/>
          <w:jc w:val="center"/>
          <w:trHeight w:val="515"/>
        </w:trPr>
        <w:tc>
          <w:tcPr>
            <w:tcW w:w="900" w:type="dxa"/>
            <w:vAlign w:val="center"/>
            <w:textDirection w:val="lrTb"/>
            <w:noWrap w:val="false"/>
          </w:tcPr>
          <w:p>
            <w:pPr>
              <w:ind w:firstLine="560"/>
              <w:jc w:val="center"/>
              <w:spacing w:line="400" w:lineRule="exact"/>
              <w:rPr>
                <w:rFonts w:hint="eastAsia" w:ascii="宋体" w:hAnsi="宋体" w:eastAsia="宋体" w:cs="宋体"/>
                <w:color w:val="auto"/>
                <w:spacing w:val="20"/>
                <w:sz w:val="18"/>
                <w:szCs w:val="18"/>
                <w:highlight w:val="none"/>
                <w:lang w:val="en-US" w:eastAsia="zh-CN"/>
              </w:rPr>
            </w:pPr>
            <w:r>
              <w:rPr>
                <w:rFonts w:hint="eastAsia" w:ascii="宋体" w:hAnsi="宋体" w:eastAsia="宋体" w:cs="宋体"/>
                <w:color w:val="auto"/>
                <w:spacing w:val="20"/>
                <w:sz w:val="18"/>
                <w:szCs w:val="18"/>
                <w:highlight w:val="none"/>
                <w:lang w:val="en-US" w:eastAsia="zh-CN"/>
              </w:rPr>
              <w:t xml:space="preserve">5</w:t>
            </w:r>
            <w:r/>
          </w:p>
        </w:tc>
        <w:tc>
          <w:tcPr>
            <w:tcW w:w="1088" w:type="dxa"/>
            <w:vAlign w:val="center"/>
            <w:textDirection w:val="lrTb"/>
            <w:noWrap w:val="false"/>
          </w:tcPr>
          <w:p>
            <w:pPr>
              <w:ind w:left="0" w:firstLine="0"/>
              <w:jc w:val="center"/>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z w:val="18"/>
                <w:szCs w:val="18"/>
                <w:highlight w:val="none"/>
              </w:rPr>
              <w:t xml:space="preserve">示波器</w:t>
            </w:r>
            <w:r/>
          </w:p>
        </w:tc>
        <w:tc>
          <w:tcPr>
            <w:tcW w:w="5461" w:type="dxa"/>
            <w:vAlign w:val="center"/>
            <w:textDirection w:val="lrTb"/>
            <w:noWrap w:val="false"/>
          </w:tcPr>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1.功能要求</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1.1具备标准分析功能：光标测量、频谱视图、FastFrame™绘图、搜索等。</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1.2具备频率计数器触发功能。</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1.3需标配探头：每个通道一只10MΩ无源电压探头。</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1.4数字电压表具备功能：4 位 AC RMS、DC 和 DC+AC RMS电压测量功能。</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1.5显示器要求：不小于15.6 英寸TFT。</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 ★ 1.6采集软件功能：配备专用示波器数据采集软件</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1.6.1具有测试管理功能，可按文件夹形式组织测试，文件夹可分配不同权限，完成的测试可归档。</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1.6.2示波器的触发设置可以根据不同产品或者不同工况，通过上位机进行手动设置和调整，触发设置条件确定后可保存为配方；在后期测试时可根据配方名称直接调用</w:t>
            </w:r>
            <w:r>
              <w:rPr>
                <w:rFonts w:hint="eastAsia" w:ascii="宋体" w:hAnsi="宋体" w:cs="宋体"/>
                <w:color w:val="auto"/>
                <w:spacing w:val="20"/>
                <w:sz w:val="18"/>
                <w:szCs w:val="18"/>
                <w:highlight w:val="none"/>
                <w:lang w:eastAsia="zh-CN"/>
              </w:rPr>
              <w:t xml:space="preserve">，</w:t>
            </w:r>
            <w:r>
              <w:rPr>
                <w:rFonts w:hint="eastAsia" w:ascii="宋体" w:hAnsi="宋体" w:eastAsia="宋体" w:cs="宋体"/>
                <w:color w:val="auto"/>
                <w:spacing w:val="20"/>
                <w:sz w:val="18"/>
                <w:szCs w:val="18"/>
                <w:highlight w:val="none"/>
                <w:lang w:eastAsia="zh-CN"/>
              </w:rPr>
              <w:t xml:space="preserve">自动设置示波器触发参数条件。</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1.6.3示波器截图时可自动获取示波器的统计数据信息（使用统计功能时） 和光标数据信息（使用光标测量时）。</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1.6.4示波器触发后可在软件上自动获取触发波形并在趋势图中显示波形。趋势图中波形可按通道显示或隐藏，X轴可放缩，可独立调整各个波形的Y轴。具有波形区间统计功能。波形数据可指定区间导出至 Excel。</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1.6.5示波器截图和获取的示波器统计数据和光标数据可自动插入到报告中，插入的位置可指定，报告模板为WORD格式，按要求提供缺省报告模板，报告模板也可编辑修改。</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1.6.6用户可以在测试电脑检索历史测试，历史测试需确定名称，检索条件为名称或者测试时间，并可以打开历史测试，生成报告。</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1.6.7 采用C/S架构，数据集中存储，方便后续扩展多客户端。</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2.技术要求</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★2.1通道数：≥4通道</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★2.2带宽：不小于1GHz</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2.3采样率：≥6.25G点/秒</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2.4深度：≥62.5M点</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2.5垂直分辨率：约为12bitADC</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2.6波形捕获率：＞500000 个波形/秒</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2.7上升时间：不大于400ps</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2.8时基范围：200ps～1000s/格</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2.9时基精度：±5.0×10-7</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3.</w:t>
            </w:r>
            <w:r>
              <w:rPr>
                <w:rFonts w:hint="eastAsia" w:ascii="宋体" w:hAnsi="宋体" w:cs="宋体"/>
                <w:color w:val="auto"/>
                <w:spacing w:val="20"/>
                <w:sz w:val="18"/>
                <w:szCs w:val="18"/>
                <w:highlight w:val="none"/>
                <w:lang w:eastAsia="zh-CN"/>
              </w:rPr>
              <w:t xml:space="preserve">其他</w:t>
            </w:r>
            <w:r>
              <w:rPr>
                <w:rFonts w:hint="eastAsia" w:ascii="宋体" w:hAnsi="宋体" w:eastAsia="宋体" w:cs="宋体"/>
                <w:color w:val="auto"/>
                <w:spacing w:val="20"/>
                <w:sz w:val="18"/>
                <w:szCs w:val="18"/>
                <w:highlight w:val="none"/>
                <w:lang w:eastAsia="zh-CN"/>
              </w:rPr>
              <w:t xml:space="preserve">要求</w:t>
            </w:r>
            <w:r/>
          </w:p>
          <w:p>
            <w:pPr>
              <w:ind w:left="0" w:firstLine="0"/>
              <w:jc w:val="left"/>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t xml:space="preserve">3.1交付时需带有资质的法定计量检定机构或授权机构出具的溯源证书，证书内容应满足技术规格中标明的主要技术指标、参数、范围。</w:t>
            </w:r>
            <w:r/>
          </w:p>
        </w:tc>
        <w:tc>
          <w:tcPr>
            <w:tcW w:w="2595" w:type="dxa"/>
            <w:vAlign w:val="center"/>
            <w:textDirection w:val="lrTb"/>
            <w:noWrap w:val="false"/>
          </w:tcPr>
          <w:p>
            <w:pPr>
              <w:ind w:firstLine="560"/>
              <w:jc w:val="center"/>
              <w:spacing w:line="400" w:lineRule="exact"/>
              <w:rPr>
                <w:rFonts w:hint="eastAsia" w:ascii="宋体" w:hAnsi="宋体" w:eastAsia="宋体" w:cs="宋体"/>
                <w:color w:val="auto"/>
                <w:spacing w:val="20"/>
                <w:sz w:val="18"/>
                <w:szCs w:val="18"/>
                <w:highlight w:val="none"/>
                <w:lang w:eastAsia="zh-CN"/>
              </w:rPr>
            </w:pPr>
            <w:r>
              <w:rPr>
                <w:rFonts w:hint="eastAsia" w:ascii="宋体" w:hAnsi="宋体" w:eastAsia="宋体" w:cs="宋体"/>
                <w:color w:val="auto"/>
                <w:spacing w:val="20"/>
                <w:sz w:val="18"/>
                <w:szCs w:val="18"/>
                <w:highlight w:val="none"/>
                <w:lang w:eastAsia="zh-CN"/>
              </w:rPr>
            </w:r>
            <w:r/>
          </w:p>
        </w:tc>
      </w:tr>
    </w:tbl>
    <w:p>
      <w:pPr>
        <w:ind w:firstLine="420"/>
        <w:rPr>
          <w:rFonts w:ascii="宋体" w:hAnsi="宋体" w:cs="宋体"/>
          <w:bCs/>
          <w:color w:val="auto"/>
          <w:highlight w:val="none"/>
          <w:lang w:eastAsia="zh-CN"/>
        </w:rPr>
        <w:outlineLvl w:val="0"/>
      </w:pPr>
      <w:r/>
      <w:bookmarkStart w:id="43" w:name="_Toc13481"/>
      <w:r/>
      <w:bookmarkStart w:id="44" w:name="_Toc29265"/>
      <w:r/>
      <w:bookmarkStart w:id="45" w:name="_Toc11173"/>
      <w:r/>
      <w:bookmarkStart w:id="46" w:name="_Toc18444"/>
      <w:r/>
      <w:r/>
    </w:p>
    <w:p>
      <w:pPr>
        <w:ind w:firstLine="420"/>
        <w:rPr>
          <w:rFonts w:ascii="宋体" w:hAnsi="宋体" w:cs="宋体"/>
          <w:bCs/>
          <w:color w:val="auto"/>
          <w:highlight w:val="none"/>
          <w:lang w:eastAsia="zh-CN"/>
        </w:rPr>
        <w:outlineLvl w:val="0"/>
      </w:pPr>
      <w:r>
        <w:rPr>
          <w:rFonts w:hint="eastAsia" w:ascii="宋体" w:hAnsi="宋体" w:cs="宋体"/>
          <w:bCs/>
          <w:color w:val="auto"/>
          <w:highlight w:val="none"/>
          <w:lang w:eastAsia="zh-CN"/>
        </w:rPr>
        <w:t xml:space="preserve">注：</w:t>
      </w:r>
      <w:bookmarkEnd w:id="43"/>
      <w:r/>
      <w:bookmarkEnd w:id="44"/>
      <w:r/>
      <w:bookmarkEnd w:id="45"/>
      <w:r/>
      <w:bookmarkEnd w:id="46"/>
      <w:r/>
      <w:r/>
    </w:p>
    <w:p>
      <w:pPr>
        <w:ind w:firstLine="420"/>
        <w:rPr>
          <w:rFonts w:ascii="宋体" w:hAnsi="宋体" w:cs="宋体"/>
          <w:bCs/>
          <w:color w:val="auto"/>
          <w:highlight w:val="none"/>
          <w:lang w:eastAsia="zh-CN"/>
        </w:rPr>
        <w:outlineLvl w:val="0"/>
      </w:pPr>
      <w:r/>
      <w:bookmarkStart w:id="47" w:name="_Toc25703"/>
      <w:r/>
      <w:bookmarkStart w:id="48" w:name="_Toc3377"/>
      <w:r/>
      <w:bookmarkStart w:id="49" w:name="_Toc10157"/>
      <w:r/>
      <w:bookmarkStart w:id="50" w:name="_Toc13193"/>
      <w:r>
        <w:rPr>
          <w:rFonts w:hint="eastAsia" w:ascii="宋体" w:hAnsi="宋体" w:cs="宋体"/>
          <w:bCs/>
          <w:color w:val="auto"/>
          <w:highlight w:val="none"/>
          <w:lang w:eastAsia="zh-CN"/>
        </w:rPr>
        <w:t xml:space="preserve">（1）本表不得删除；</w:t>
      </w:r>
      <w:bookmarkEnd w:id="47"/>
      <w:r/>
      <w:bookmarkEnd w:id="48"/>
      <w:r/>
      <w:bookmarkEnd w:id="49"/>
      <w:r/>
      <w:bookmarkEnd w:id="50"/>
      <w:r/>
      <w:r/>
    </w:p>
    <w:p>
      <w:pPr>
        <w:ind w:firstLine="420"/>
        <w:rPr>
          <w:rFonts w:ascii="宋体" w:hAnsi="宋体" w:cs="宋体"/>
          <w:bCs/>
          <w:color w:val="auto"/>
          <w:highlight w:val="none"/>
          <w:lang w:eastAsia="zh-CN"/>
        </w:rPr>
        <w:outlineLvl w:val="0"/>
      </w:pPr>
      <w:r/>
      <w:bookmarkStart w:id="51" w:name="_Toc27272"/>
      <w:r/>
      <w:bookmarkStart w:id="52" w:name="_Toc13612"/>
      <w:r/>
      <w:bookmarkStart w:id="53" w:name="_Toc29500"/>
      <w:r/>
      <w:bookmarkStart w:id="54" w:name="_Toc24003"/>
      <w:r>
        <w:rPr>
          <w:rFonts w:hint="eastAsia" w:ascii="宋体" w:hAnsi="宋体" w:cs="宋体"/>
          <w:bCs/>
          <w:color w:val="auto"/>
          <w:highlight w:val="none"/>
          <w:lang w:eastAsia="zh-CN"/>
        </w:rPr>
        <w:t xml:space="preserve">（2）</w:t>
      </w:r>
      <w:r>
        <w:rPr>
          <w:rFonts w:ascii="宋体" w:hAnsi="宋体" w:cs="宋体"/>
          <w:bCs/>
          <w:color w:val="auto"/>
          <w:highlight w:val="none"/>
          <w:lang w:eastAsia="zh-CN"/>
        </w:rPr>
        <w:t xml:space="preserve">投标供应商须对照招标技术参数要求逐条列出并对比，其中</w:t>
      </w:r>
      <w:r>
        <w:rPr>
          <w:rFonts w:hint="eastAsia" w:ascii="宋体" w:hAnsi="宋体" w:cs="宋体"/>
          <w:bCs/>
          <w:color w:val="auto"/>
          <w:highlight w:val="none"/>
          <w:lang w:eastAsia="zh-CN"/>
        </w:rPr>
        <w:t xml:space="preserve">“</w:t>
      </w:r>
      <w:r>
        <w:rPr>
          <w:rFonts w:ascii="宋体" w:hAnsi="宋体" w:cs="宋体"/>
          <w:bCs/>
          <w:color w:val="auto"/>
          <w:highlight w:val="none"/>
          <w:lang w:eastAsia="zh-CN"/>
        </w:rPr>
        <w:t xml:space="preserve">投标</w:t>
      </w:r>
      <w:r>
        <w:rPr>
          <w:rFonts w:hint="eastAsia" w:ascii="宋体" w:hAnsi="宋体" w:cs="宋体"/>
          <w:bCs/>
          <w:color w:val="auto"/>
          <w:highlight w:val="none"/>
          <w:lang w:eastAsia="zh-CN"/>
        </w:rPr>
        <w:t xml:space="preserve">货物</w:t>
      </w:r>
      <w:r>
        <w:rPr>
          <w:rFonts w:ascii="宋体" w:hAnsi="宋体" w:cs="宋体"/>
          <w:bCs/>
          <w:color w:val="auto"/>
          <w:highlight w:val="none"/>
          <w:lang w:eastAsia="zh-CN"/>
        </w:rPr>
        <w:t xml:space="preserve">技术指标描述</w:t>
      </w:r>
      <w:r>
        <w:rPr>
          <w:rFonts w:hint="eastAsia" w:ascii="宋体" w:hAnsi="宋体" w:cs="宋体"/>
          <w:bCs/>
          <w:color w:val="auto"/>
          <w:highlight w:val="none"/>
          <w:lang w:eastAsia="zh-CN"/>
        </w:rPr>
        <w:t xml:space="preserve">”</w:t>
      </w:r>
      <w:r>
        <w:rPr>
          <w:rFonts w:ascii="宋体" w:hAnsi="宋体" w:cs="宋体"/>
          <w:bCs/>
          <w:color w:val="auto"/>
          <w:highlight w:val="none"/>
          <w:lang w:eastAsia="zh-CN"/>
        </w:rPr>
        <w:t xml:space="preserve">一栏须详细说明投标产品的具体量化参数，如照抄招标文件要求或只写</w:t>
      </w:r>
      <w:r>
        <w:rPr>
          <w:rFonts w:hint="eastAsia" w:ascii="宋体" w:hAnsi="宋体" w:cs="宋体"/>
          <w:bCs/>
          <w:color w:val="auto"/>
          <w:highlight w:val="none"/>
          <w:lang w:eastAsia="zh-CN"/>
        </w:rPr>
        <w:t xml:space="preserve">“</w:t>
      </w:r>
      <w:r>
        <w:rPr>
          <w:rFonts w:ascii="宋体" w:hAnsi="宋体" w:cs="宋体"/>
          <w:bCs/>
          <w:color w:val="auto"/>
          <w:highlight w:val="none"/>
          <w:lang w:eastAsia="zh-CN"/>
        </w:rPr>
        <w:t xml:space="preserve">完全响应</w:t>
      </w:r>
      <w:r>
        <w:rPr>
          <w:rFonts w:hint="eastAsia" w:ascii="宋体" w:hAnsi="宋体" w:cs="宋体"/>
          <w:bCs/>
          <w:color w:val="auto"/>
          <w:highlight w:val="none"/>
          <w:lang w:eastAsia="zh-CN"/>
        </w:rPr>
        <w:t xml:space="preserve">”</w:t>
      </w:r>
      <w:r>
        <w:rPr>
          <w:rFonts w:ascii="宋体" w:hAnsi="宋体" w:cs="宋体"/>
          <w:bCs/>
          <w:color w:val="auto"/>
          <w:highlight w:val="none"/>
          <w:lang w:eastAsia="zh-CN"/>
        </w:rPr>
        <w:t xml:space="preserve">等字样的均不得分</w:t>
      </w:r>
      <w:r>
        <w:rPr>
          <w:rFonts w:hint="eastAsia" w:ascii="宋体" w:hAnsi="宋体" w:cs="宋体"/>
          <w:bCs/>
          <w:color w:val="auto"/>
          <w:highlight w:val="none"/>
          <w:lang w:eastAsia="zh-CN"/>
        </w:rPr>
        <w:t xml:space="preserve">，并注明“正偏离”或“负偏离”，具体偏离以评委会认定为准。</w:t>
      </w:r>
      <w:bookmarkEnd w:id="51"/>
      <w:r/>
      <w:bookmarkEnd w:id="52"/>
      <w:r/>
      <w:bookmarkEnd w:id="53"/>
      <w:r/>
      <w:bookmarkEnd w:id="54"/>
      <w:r/>
      <w:r/>
    </w:p>
    <w:p>
      <w:pPr>
        <w:ind w:firstLine="420"/>
        <w:rPr>
          <w:rFonts w:ascii="宋体" w:hAnsi="宋体" w:cs="宋体"/>
          <w:bCs/>
          <w:color w:val="auto"/>
          <w:highlight w:val="none"/>
          <w:lang w:eastAsia="zh-CN"/>
        </w:rPr>
        <w:outlineLvl w:val="0"/>
      </w:pPr>
      <w:r/>
      <w:bookmarkStart w:id="55" w:name="_Toc20363"/>
      <w:r/>
      <w:bookmarkStart w:id="56" w:name="_Toc18897"/>
      <w:r/>
      <w:bookmarkStart w:id="57" w:name="_Toc708"/>
      <w:r/>
      <w:bookmarkStart w:id="58" w:name="_Toc23807"/>
      <w:r>
        <w:rPr>
          <w:rFonts w:hint="eastAsia" w:ascii="宋体" w:hAnsi="宋体" w:cs="宋体"/>
          <w:bCs/>
          <w:color w:val="auto"/>
          <w:highlight w:val="none"/>
          <w:lang w:eastAsia="zh-CN"/>
        </w:rPr>
        <w:t xml:space="preserve">（3）本表如需要可自行延长。</w:t>
      </w:r>
      <w:bookmarkEnd w:id="55"/>
      <w:r/>
      <w:bookmarkEnd w:id="56"/>
      <w:r/>
      <w:bookmarkEnd w:id="57"/>
      <w:r/>
      <w:bookmarkEnd w:id="58"/>
      <w:r/>
      <w:r/>
    </w:p>
    <w:p>
      <w:pPr>
        <w:ind w:left="283" w:firstLine="0"/>
        <w:rPr>
          <w:rFonts w:ascii="等线" w:hAnsi="等线" w:eastAsia="等线"/>
          <w:color w:val="auto"/>
          <w:sz w:val="21"/>
          <w:highlight w:val="none"/>
          <w:lang w:eastAsia="zh-CN"/>
        </w:rPr>
      </w:pPr>
      <w:r>
        <w:rPr>
          <w:rFonts w:ascii="等线" w:hAnsi="等线" w:eastAsia="等线"/>
          <w:color w:val="auto"/>
          <w:sz w:val="21"/>
          <w:highlight w:val="none"/>
          <w:lang w:eastAsia="zh-CN"/>
        </w:rPr>
      </w:r>
      <w:r/>
    </w:p>
    <w:sectPr>
      <w:footnotePr/>
      <w:endnotePr/>
      <w:type w:val="nextPage"/>
      <w:pgSz w:w="11906" w:h="16838" w:orient="portrait"/>
      <w:pgMar w:top="1191" w:right="1503" w:bottom="851" w:left="1503" w:header="851"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27753" cy="367605"/>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427753" cy="3676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3.7pt;height:28.9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414655" cy="29845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414655" cy="2984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32.6pt;height:23.5pt;mso-wrap-distance-left:9.0pt;mso-wrap-distance-top:0.0pt;mso-wrap-distance-right:9.0pt;mso-wrap-distance-bottom:0.0pt;v-text-anchor:top;visibility:visible;" filled="f" stroked="f" strokeweight="0.50pt">
              <v:textbox inset="0,0,0,0">
                <w:txbxContent>
                  <w:p>
                    <w:pPr>
                      <w:pStyle w:val="100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002"/>
      <w:ind w:firstLine="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jc w:val="right"/>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9"/>
      <w:numFmt w:val="japaneseCounting"/>
      <w:isLgl w:val="false"/>
      <w:suff w:val="tab"/>
      <w:lvlText w:val="（%1）"/>
      <w:lvlJc w:val="left"/>
      <w:pPr>
        <w:ind w:left="1287" w:hanging="720"/>
      </w:pPr>
      <w:rPr>
        <w:rFonts w:hint="default"/>
        <w:color w:val="auto"/>
      </w:rPr>
    </w:lvl>
    <w:lvl w:ilvl="1">
      <w:start w:val="1"/>
      <w:numFmt w:val="lowerLetter"/>
      <w:isLgl w:val="false"/>
      <w:suff w:val="tab"/>
      <w:lvlText w:val="%2)"/>
      <w:lvlJc w:val="left"/>
      <w:pPr>
        <w:ind w:left="1407" w:hanging="420"/>
      </w:pPr>
    </w:lvl>
    <w:lvl w:ilvl="2">
      <w:start w:val="1"/>
      <w:numFmt w:val="lowerRoman"/>
      <w:isLgl w:val="false"/>
      <w:suff w:val="tab"/>
      <w:lvlText w:val="%3."/>
      <w:lvlJc w:val="right"/>
      <w:pPr>
        <w:ind w:left="1827" w:hanging="420"/>
      </w:pPr>
    </w:lvl>
    <w:lvl w:ilvl="3">
      <w:start w:val="1"/>
      <w:numFmt w:val="decimal"/>
      <w:isLgl w:val="false"/>
      <w:suff w:val="tab"/>
      <w:lvlText w:val="%4."/>
      <w:lvlJc w:val="left"/>
      <w:pPr>
        <w:ind w:left="2247" w:hanging="420"/>
      </w:pPr>
    </w:lvl>
    <w:lvl w:ilvl="4">
      <w:start w:val="1"/>
      <w:numFmt w:val="lowerLetter"/>
      <w:isLgl w:val="false"/>
      <w:suff w:val="tab"/>
      <w:lvlText w:val="%5)"/>
      <w:lvlJc w:val="left"/>
      <w:pPr>
        <w:ind w:left="2667" w:hanging="420"/>
      </w:pPr>
    </w:lvl>
    <w:lvl w:ilvl="5">
      <w:start w:val="1"/>
      <w:numFmt w:val="lowerRoman"/>
      <w:isLgl w:val="false"/>
      <w:suff w:val="tab"/>
      <w:lvlText w:val="%6."/>
      <w:lvlJc w:val="right"/>
      <w:pPr>
        <w:ind w:left="3087" w:hanging="420"/>
      </w:pPr>
    </w:lvl>
    <w:lvl w:ilvl="6">
      <w:start w:val="1"/>
      <w:numFmt w:val="decimal"/>
      <w:isLgl w:val="false"/>
      <w:suff w:val="tab"/>
      <w:lvlText w:val="%7."/>
      <w:lvlJc w:val="left"/>
      <w:pPr>
        <w:ind w:left="3507" w:hanging="420"/>
      </w:pPr>
    </w:lvl>
    <w:lvl w:ilvl="7">
      <w:start w:val="1"/>
      <w:numFmt w:val="lowerLetter"/>
      <w:isLgl w:val="false"/>
      <w:suff w:val="tab"/>
      <w:lvlText w:val="%8)"/>
      <w:lvlJc w:val="left"/>
      <w:pPr>
        <w:ind w:left="3927" w:hanging="420"/>
      </w:pPr>
    </w:lvl>
    <w:lvl w:ilvl="8">
      <w:start w:val="1"/>
      <w:numFmt w:val="lowerRoman"/>
      <w:isLgl w:val="false"/>
      <w:suff w:val="tab"/>
      <w:lvlText w:val="%9."/>
      <w:lvlJc w:val="right"/>
      <w:pPr>
        <w:ind w:left="4347" w:hanging="420"/>
      </w:p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6"/>
  </w:num>
  <w:num w:numId="3">
    <w:abstractNumId w:val="0"/>
  </w:num>
  <w:num w:numId="4">
    <w:abstractNumId w:val="3"/>
  </w:num>
  <w:num w:numId="5">
    <w:abstractNumId w:val="5"/>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2">
    <w:name w:val="Heading 1 Char"/>
    <w:basedOn w:val="995"/>
    <w:link w:val="991"/>
    <w:uiPriority w:val="9"/>
    <w:rPr>
      <w:rFonts w:ascii="Arial" w:hAnsi="Arial" w:eastAsia="Arial" w:cs="Arial"/>
      <w:sz w:val="40"/>
      <w:szCs w:val="40"/>
    </w:rPr>
  </w:style>
  <w:style w:type="character" w:styleId="823">
    <w:name w:val="Heading 2 Char"/>
    <w:basedOn w:val="995"/>
    <w:link w:val="992"/>
    <w:uiPriority w:val="9"/>
    <w:rPr>
      <w:rFonts w:ascii="Arial" w:hAnsi="Arial" w:eastAsia="Arial" w:cs="Arial"/>
      <w:sz w:val="34"/>
    </w:rPr>
  </w:style>
  <w:style w:type="character" w:styleId="824">
    <w:name w:val="Heading 3 Char"/>
    <w:basedOn w:val="995"/>
    <w:link w:val="993"/>
    <w:uiPriority w:val="9"/>
    <w:rPr>
      <w:rFonts w:ascii="Arial" w:hAnsi="Arial" w:eastAsia="Arial" w:cs="Arial"/>
      <w:sz w:val="30"/>
      <w:szCs w:val="30"/>
    </w:rPr>
  </w:style>
  <w:style w:type="character" w:styleId="825">
    <w:name w:val="Heading 4 Char"/>
    <w:basedOn w:val="995"/>
    <w:link w:val="994"/>
    <w:uiPriority w:val="9"/>
    <w:rPr>
      <w:rFonts w:ascii="Arial" w:hAnsi="Arial" w:eastAsia="Arial" w:cs="Arial"/>
      <w:b/>
      <w:bCs/>
      <w:sz w:val="26"/>
      <w:szCs w:val="26"/>
    </w:rPr>
  </w:style>
  <w:style w:type="paragraph" w:styleId="826">
    <w:name w:val="Heading 5"/>
    <w:basedOn w:val="990"/>
    <w:next w:val="990"/>
    <w:link w:val="827"/>
    <w:uiPriority w:val="9"/>
    <w:unhideWhenUsed/>
    <w:qFormat/>
    <w:pPr>
      <w:keepLines/>
      <w:keepNext/>
      <w:spacing w:before="320" w:after="200"/>
      <w:outlineLvl w:val="4"/>
    </w:pPr>
    <w:rPr>
      <w:rFonts w:ascii="Arial" w:hAnsi="Arial" w:eastAsia="Arial" w:cs="Arial"/>
      <w:b/>
      <w:bCs/>
      <w:sz w:val="24"/>
      <w:szCs w:val="24"/>
    </w:rPr>
  </w:style>
  <w:style w:type="character" w:styleId="827">
    <w:name w:val="Heading 5 Char"/>
    <w:basedOn w:val="995"/>
    <w:link w:val="826"/>
    <w:uiPriority w:val="9"/>
    <w:rPr>
      <w:rFonts w:ascii="Arial" w:hAnsi="Arial" w:eastAsia="Arial" w:cs="Arial"/>
      <w:b/>
      <w:bCs/>
      <w:sz w:val="24"/>
      <w:szCs w:val="24"/>
    </w:rPr>
  </w:style>
  <w:style w:type="paragraph" w:styleId="828">
    <w:name w:val="Heading 6"/>
    <w:basedOn w:val="990"/>
    <w:next w:val="990"/>
    <w:link w:val="829"/>
    <w:uiPriority w:val="9"/>
    <w:unhideWhenUsed/>
    <w:qFormat/>
    <w:pPr>
      <w:keepLines/>
      <w:keepNext/>
      <w:spacing w:before="320" w:after="200"/>
      <w:outlineLvl w:val="5"/>
    </w:pPr>
    <w:rPr>
      <w:rFonts w:ascii="Arial" w:hAnsi="Arial" w:eastAsia="Arial" w:cs="Arial"/>
      <w:b/>
      <w:bCs/>
      <w:sz w:val="22"/>
      <w:szCs w:val="22"/>
    </w:rPr>
  </w:style>
  <w:style w:type="character" w:styleId="829">
    <w:name w:val="Heading 6 Char"/>
    <w:basedOn w:val="995"/>
    <w:link w:val="828"/>
    <w:uiPriority w:val="9"/>
    <w:rPr>
      <w:rFonts w:ascii="Arial" w:hAnsi="Arial" w:eastAsia="Arial" w:cs="Arial"/>
      <w:b/>
      <w:bCs/>
      <w:sz w:val="22"/>
      <w:szCs w:val="22"/>
    </w:rPr>
  </w:style>
  <w:style w:type="paragraph" w:styleId="830">
    <w:name w:val="Heading 7"/>
    <w:basedOn w:val="990"/>
    <w:next w:val="990"/>
    <w:link w:val="831"/>
    <w:uiPriority w:val="9"/>
    <w:unhideWhenUsed/>
    <w:qFormat/>
    <w:pPr>
      <w:keepLines/>
      <w:keepNext/>
      <w:spacing w:before="320" w:after="200"/>
      <w:outlineLvl w:val="6"/>
    </w:pPr>
    <w:rPr>
      <w:rFonts w:ascii="Arial" w:hAnsi="Arial" w:eastAsia="Arial" w:cs="Arial"/>
      <w:b/>
      <w:bCs/>
      <w:i/>
      <w:iCs/>
      <w:sz w:val="22"/>
      <w:szCs w:val="22"/>
    </w:rPr>
  </w:style>
  <w:style w:type="character" w:styleId="831">
    <w:name w:val="Heading 7 Char"/>
    <w:basedOn w:val="995"/>
    <w:link w:val="830"/>
    <w:uiPriority w:val="9"/>
    <w:rPr>
      <w:rFonts w:ascii="Arial" w:hAnsi="Arial" w:eastAsia="Arial" w:cs="Arial"/>
      <w:b/>
      <w:bCs/>
      <w:i/>
      <w:iCs/>
      <w:sz w:val="22"/>
      <w:szCs w:val="22"/>
    </w:rPr>
  </w:style>
  <w:style w:type="paragraph" w:styleId="832">
    <w:name w:val="Heading 8"/>
    <w:basedOn w:val="990"/>
    <w:next w:val="990"/>
    <w:link w:val="833"/>
    <w:uiPriority w:val="9"/>
    <w:unhideWhenUsed/>
    <w:qFormat/>
    <w:pPr>
      <w:keepLines/>
      <w:keepNext/>
      <w:spacing w:before="320" w:after="200"/>
      <w:outlineLvl w:val="7"/>
    </w:pPr>
    <w:rPr>
      <w:rFonts w:ascii="Arial" w:hAnsi="Arial" w:eastAsia="Arial" w:cs="Arial"/>
      <w:i/>
      <w:iCs/>
      <w:sz w:val="22"/>
      <w:szCs w:val="22"/>
    </w:rPr>
  </w:style>
  <w:style w:type="character" w:styleId="833">
    <w:name w:val="Heading 8 Char"/>
    <w:basedOn w:val="995"/>
    <w:link w:val="832"/>
    <w:uiPriority w:val="9"/>
    <w:rPr>
      <w:rFonts w:ascii="Arial" w:hAnsi="Arial" w:eastAsia="Arial" w:cs="Arial"/>
      <w:i/>
      <w:iCs/>
      <w:sz w:val="22"/>
      <w:szCs w:val="22"/>
    </w:rPr>
  </w:style>
  <w:style w:type="paragraph" w:styleId="834">
    <w:name w:val="Heading 9"/>
    <w:basedOn w:val="990"/>
    <w:next w:val="990"/>
    <w:link w:val="835"/>
    <w:uiPriority w:val="9"/>
    <w:unhideWhenUsed/>
    <w:qFormat/>
    <w:pPr>
      <w:keepLines/>
      <w:keepNext/>
      <w:spacing w:before="320" w:after="200"/>
      <w:outlineLvl w:val="8"/>
    </w:pPr>
    <w:rPr>
      <w:rFonts w:ascii="Arial" w:hAnsi="Arial" w:eastAsia="Arial" w:cs="Arial"/>
      <w:i/>
      <w:iCs/>
      <w:sz w:val="21"/>
      <w:szCs w:val="21"/>
    </w:rPr>
  </w:style>
  <w:style w:type="character" w:styleId="835">
    <w:name w:val="Heading 9 Char"/>
    <w:basedOn w:val="995"/>
    <w:link w:val="834"/>
    <w:uiPriority w:val="9"/>
    <w:rPr>
      <w:rFonts w:ascii="Arial" w:hAnsi="Arial" w:eastAsia="Arial" w:cs="Arial"/>
      <w:i/>
      <w:iCs/>
      <w:sz w:val="21"/>
      <w:szCs w:val="21"/>
    </w:rPr>
  </w:style>
  <w:style w:type="paragraph" w:styleId="836">
    <w:name w:val="No Spacing"/>
    <w:uiPriority w:val="1"/>
    <w:qFormat/>
    <w:pPr>
      <w:spacing w:before="0" w:after="0" w:line="240" w:lineRule="auto"/>
    </w:pPr>
  </w:style>
  <w:style w:type="paragraph" w:styleId="837">
    <w:name w:val="Title"/>
    <w:basedOn w:val="990"/>
    <w:next w:val="990"/>
    <w:link w:val="838"/>
    <w:uiPriority w:val="10"/>
    <w:qFormat/>
    <w:pPr>
      <w:contextualSpacing/>
      <w:spacing w:before="300" w:after="200"/>
    </w:pPr>
    <w:rPr>
      <w:sz w:val="48"/>
      <w:szCs w:val="48"/>
    </w:rPr>
  </w:style>
  <w:style w:type="character" w:styleId="838">
    <w:name w:val="Title Char"/>
    <w:basedOn w:val="995"/>
    <w:link w:val="837"/>
    <w:uiPriority w:val="10"/>
    <w:rPr>
      <w:sz w:val="48"/>
      <w:szCs w:val="48"/>
    </w:rPr>
  </w:style>
  <w:style w:type="paragraph" w:styleId="839">
    <w:name w:val="Subtitle"/>
    <w:basedOn w:val="990"/>
    <w:next w:val="990"/>
    <w:link w:val="840"/>
    <w:uiPriority w:val="11"/>
    <w:qFormat/>
    <w:pPr>
      <w:spacing w:before="200" w:after="200"/>
    </w:pPr>
    <w:rPr>
      <w:sz w:val="24"/>
      <w:szCs w:val="24"/>
    </w:rPr>
  </w:style>
  <w:style w:type="character" w:styleId="840">
    <w:name w:val="Subtitle Char"/>
    <w:basedOn w:val="995"/>
    <w:link w:val="839"/>
    <w:uiPriority w:val="11"/>
    <w:rPr>
      <w:sz w:val="24"/>
      <w:szCs w:val="24"/>
    </w:rPr>
  </w:style>
  <w:style w:type="paragraph" w:styleId="841">
    <w:name w:val="Quote"/>
    <w:basedOn w:val="990"/>
    <w:next w:val="990"/>
    <w:link w:val="842"/>
    <w:uiPriority w:val="29"/>
    <w:qFormat/>
    <w:pPr>
      <w:ind w:left="720" w:right="720"/>
    </w:pPr>
    <w:rPr>
      <w:i/>
    </w:rPr>
  </w:style>
  <w:style w:type="character" w:styleId="842">
    <w:name w:val="Quote Char"/>
    <w:link w:val="841"/>
    <w:uiPriority w:val="29"/>
    <w:rPr>
      <w:i/>
    </w:rPr>
  </w:style>
  <w:style w:type="paragraph" w:styleId="843">
    <w:name w:val="Intense Quote"/>
    <w:basedOn w:val="990"/>
    <w:next w:val="990"/>
    <w:link w:val="8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4">
    <w:name w:val="Intense Quote Char"/>
    <w:link w:val="843"/>
    <w:uiPriority w:val="30"/>
    <w:rPr>
      <w:i/>
    </w:rPr>
  </w:style>
  <w:style w:type="character" w:styleId="845">
    <w:name w:val="Header Char"/>
    <w:basedOn w:val="995"/>
    <w:link w:val="1003"/>
    <w:uiPriority w:val="99"/>
  </w:style>
  <w:style w:type="character" w:styleId="846">
    <w:name w:val="Footer Char"/>
    <w:basedOn w:val="995"/>
    <w:link w:val="1002"/>
    <w:uiPriority w:val="99"/>
  </w:style>
  <w:style w:type="paragraph" w:styleId="847">
    <w:name w:val="Caption"/>
    <w:basedOn w:val="990"/>
    <w:next w:val="990"/>
    <w:uiPriority w:val="35"/>
    <w:semiHidden/>
    <w:unhideWhenUsed/>
    <w:qFormat/>
    <w:pPr>
      <w:spacing w:line="276" w:lineRule="auto"/>
    </w:pPr>
    <w:rPr>
      <w:b/>
      <w:bCs/>
      <w:color w:val="4f81bd" w:themeColor="accent1"/>
      <w:sz w:val="18"/>
      <w:szCs w:val="18"/>
    </w:rPr>
  </w:style>
  <w:style w:type="character" w:styleId="848">
    <w:name w:val="Caption Char"/>
    <w:basedOn w:val="847"/>
    <w:link w:val="1002"/>
    <w:uiPriority w:val="99"/>
  </w:style>
  <w:style w:type="table" w:styleId="849">
    <w:name w:val="Table Grid"/>
    <w:basedOn w:val="996"/>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0">
    <w:name w:val="Table Grid Light"/>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1">
    <w:name w:val="Plain Table 1"/>
    <w:basedOn w:val="9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2"/>
    <w:basedOn w:val="9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3"/>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name w:val="Plain Table 4"/>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name w:val="Plain Table 5"/>
    <w:basedOn w:val="9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6">
    <w:name w:val="Grid Table 1 Light"/>
    <w:basedOn w:val="9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7">
    <w:name w:val="Grid Table 1 Light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8">
    <w:name w:val="Grid Table 1 Light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9">
    <w:name w:val="Grid Table 1 Light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0">
    <w:name w:val="Grid Table 1 Light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1">
    <w:name w:val="Grid Table 1 Light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2">
    <w:name w:val="Grid Table 1 Light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3">
    <w:name w:val="Grid Table 2"/>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4">
    <w:name w:val="Grid Table 2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5">
    <w:name w:val="Grid Table 2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2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2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2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9">
    <w:name w:val="Grid Table 2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0">
    <w:name w:val="Grid Table 3"/>
    <w:basedOn w:val="9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1"/>
    <w:basedOn w:val="9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2"/>
    <w:basedOn w:val="9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3"/>
    <w:basedOn w:val="9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4"/>
    <w:basedOn w:val="9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5"/>
    <w:basedOn w:val="9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6"/>
    <w:basedOn w:val="9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4"/>
    <w:basedOn w:val="9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name w:val="Grid Table 4 - Accent 1"/>
    <w:basedOn w:val="9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9">
    <w:name w:val="Grid Table 4 - Accent 2"/>
    <w:basedOn w:val="9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0">
    <w:name w:val="Grid Table 4 - Accent 3"/>
    <w:basedOn w:val="9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1">
    <w:name w:val="Grid Table 4 - Accent 4"/>
    <w:basedOn w:val="9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2">
    <w:name w:val="Grid Table 4 - Accent 5"/>
    <w:basedOn w:val="9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3">
    <w:name w:val="Grid Table 4 - Accent 6"/>
    <w:basedOn w:val="9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4">
    <w:name w:val="Grid Table 5 Dark"/>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5">
    <w:name w:val="Grid Table 5 Dark- Accent 1"/>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86">
    <w:name w:val="Grid Table 5 Dark - Accent 2"/>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87">
    <w:name w:val="Grid Table 5 Dark - Accent 3"/>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88">
    <w:name w:val="Grid Table 5 Dark- Accent 4"/>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89">
    <w:name w:val="Grid Table 5 Dark - Accent 5"/>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90">
    <w:name w:val="Grid Table 5 Dark - Accent 6"/>
    <w:basedOn w:val="9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1">
    <w:name w:val="Grid Table 6 Colorful"/>
    <w:basedOn w:val="9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2">
    <w:name w:val="Grid Table 6 Colorful - Accent 1"/>
    <w:basedOn w:val="9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93">
    <w:name w:val="Grid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94">
    <w:name w:val="Grid Table 6 Colorful - Accent 3"/>
    <w:basedOn w:val="9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95">
    <w:name w:val="Grid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96">
    <w:name w:val="Grid Table 6 Colorful - Accent 5"/>
    <w:basedOn w:val="9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7">
    <w:name w:val="Grid Table 6 Colorful - Accent 6"/>
    <w:basedOn w:val="9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98">
    <w:name w:val="Grid Table 7 Colorful"/>
    <w:basedOn w:val="9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9">
    <w:name w:val="Grid Table 7 Colorful - Accent 1"/>
    <w:basedOn w:val="9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0">
    <w:name w:val="Grid Table 7 Colorful - Accent 2"/>
    <w:basedOn w:val="9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1">
    <w:name w:val="Grid Table 7 Colorful - Accent 3"/>
    <w:basedOn w:val="9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2">
    <w:name w:val="Grid Table 7 Colorful - Accent 4"/>
    <w:basedOn w:val="9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3">
    <w:name w:val="Grid Table 7 Colorful - Accent 5"/>
    <w:basedOn w:val="9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4">
    <w:name w:val="Grid Table 7 Colorful - Accent 6"/>
    <w:basedOn w:val="9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5">
    <w:name w:val="List Table 1 Light"/>
    <w:basedOn w:val="9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name w:val="List Table 1 Light - Accent 1"/>
    <w:basedOn w:val="99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7">
    <w:name w:val="List Table 1 Light - Accent 2"/>
    <w:basedOn w:val="99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8">
    <w:name w:val="List Table 1 Light - Accent 3"/>
    <w:basedOn w:val="99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9">
    <w:name w:val="List Table 1 Light - Accent 4"/>
    <w:basedOn w:val="99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0">
    <w:name w:val="List Table 1 Light - Accent 5"/>
    <w:basedOn w:val="99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1">
    <w:name w:val="List Table 1 Light - Accent 6"/>
    <w:basedOn w:val="99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2">
    <w:name w:val="List Table 2"/>
    <w:basedOn w:val="9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3">
    <w:name w:val="List Table 2 - Accent 1"/>
    <w:basedOn w:val="9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4">
    <w:name w:val="List Table 2 - Accent 2"/>
    <w:basedOn w:val="9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5">
    <w:name w:val="List Table 2 - Accent 3"/>
    <w:basedOn w:val="9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6">
    <w:name w:val="List Table 2 - Accent 4"/>
    <w:basedOn w:val="9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7">
    <w:name w:val="List Table 2 - Accent 5"/>
    <w:basedOn w:val="9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8">
    <w:name w:val="List Table 2 - Accent 6"/>
    <w:basedOn w:val="9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9">
    <w:name w:val="List Table 3"/>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3 - Accent 1"/>
    <w:basedOn w:val="9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1">
    <w:name w:val="List Table 3 - Accent 2"/>
    <w:basedOn w:val="9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22">
    <w:name w:val="List Table 3 - Accent 3"/>
    <w:basedOn w:val="9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23">
    <w:name w:val="List Table 3 - Accent 4"/>
    <w:basedOn w:val="9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24">
    <w:name w:val="List Table 3 - Accent 5"/>
    <w:basedOn w:val="9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25">
    <w:name w:val="List Table 3 - Accent 6"/>
    <w:basedOn w:val="9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26">
    <w:name w:val="List Table 4"/>
    <w:basedOn w:val="9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7">
    <w:name w:val="List Table 4 - Accent 1"/>
    <w:basedOn w:val="9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28">
    <w:name w:val="List Table 4 - Accent 2"/>
    <w:basedOn w:val="9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29">
    <w:name w:val="List Table 4 - Accent 3"/>
    <w:basedOn w:val="9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30">
    <w:name w:val="List Table 4 - Accent 4"/>
    <w:basedOn w:val="9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31">
    <w:name w:val="List Table 4 - Accent 5"/>
    <w:basedOn w:val="9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32">
    <w:name w:val="List Table 4 - Accent 6"/>
    <w:basedOn w:val="9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33">
    <w:name w:val="List Table 5 Dark"/>
    <w:basedOn w:val="9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1"/>
    <w:basedOn w:val="9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2"/>
    <w:basedOn w:val="9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3"/>
    <w:basedOn w:val="9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4"/>
    <w:basedOn w:val="9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5"/>
    <w:basedOn w:val="9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6"/>
    <w:basedOn w:val="9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6 Colorful"/>
    <w:basedOn w:val="9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1">
    <w:name w:val="List Table 6 Colorful - Accent 1"/>
    <w:basedOn w:val="9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42">
    <w:name w:val="List Table 6 Colorful - Accent 2"/>
    <w:basedOn w:val="9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43">
    <w:name w:val="List Table 6 Colorful - Accent 3"/>
    <w:basedOn w:val="9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44">
    <w:name w:val="List Table 6 Colorful - Accent 4"/>
    <w:basedOn w:val="9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45">
    <w:name w:val="List Table 6 Colorful - Accent 5"/>
    <w:basedOn w:val="9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46">
    <w:name w:val="List Table 6 Colorful - Accent 6"/>
    <w:basedOn w:val="9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47">
    <w:name w:val="List Table 7 Colorful"/>
    <w:basedOn w:val="9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8">
    <w:name w:val="List Table 7 Colorful - Accent 1"/>
    <w:basedOn w:val="9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49">
    <w:name w:val="List Table 7 Colorful - Accent 2"/>
    <w:basedOn w:val="9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50">
    <w:name w:val="List Table 7 Colorful - Accent 3"/>
    <w:basedOn w:val="9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51">
    <w:name w:val="List Table 7 Colorful - Accent 4"/>
    <w:basedOn w:val="9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52">
    <w:name w:val="List Table 7 Colorful - Accent 5"/>
    <w:basedOn w:val="9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53">
    <w:name w:val="List Table 7 Colorful - Accent 6"/>
    <w:basedOn w:val="9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54">
    <w:name w:val="Lined - Accent"/>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Lined - Accent 1"/>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56">
    <w:name w:val="Lined - Accent 2"/>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57">
    <w:name w:val="Lined - Accent 3"/>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58">
    <w:name w:val="Lined - Accent 4"/>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59">
    <w:name w:val="Lined - Accent 5"/>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0">
    <w:name w:val="Lined - Accent 6"/>
    <w:basedOn w:val="9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1">
    <w:name w:val="Bordered &amp; Lined - Accent"/>
    <w:basedOn w:val="9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2">
    <w:name w:val="Bordered &amp; Lined - Accent 1"/>
    <w:basedOn w:val="9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63">
    <w:name w:val="Bordered &amp; Lined - Accent 2"/>
    <w:basedOn w:val="9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64">
    <w:name w:val="Bordered &amp; Lined - Accent 3"/>
    <w:basedOn w:val="9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65">
    <w:name w:val="Bordered &amp; Lined - Accent 4"/>
    <w:basedOn w:val="9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66">
    <w:name w:val="Bordered &amp; Lined - Accent 5"/>
    <w:basedOn w:val="9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67">
    <w:name w:val="Bordered &amp; Lined - Accent 6"/>
    <w:basedOn w:val="9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68">
    <w:name w:val="Bordered"/>
    <w:basedOn w:val="9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9">
    <w:name w:val="Bordered - Accent 1"/>
    <w:basedOn w:val="9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0">
    <w:name w:val="Bordered - Accent 2"/>
    <w:basedOn w:val="9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1">
    <w:name w:val="Bordered - Accent 3"/>
    <w:basedOn w:val="9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2">
    <w:name w:val="Bordered - Accent 4"/>
    <w:basedOn w:val="9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3">
    <w:name w:val="Bordered - Accent 5"/>
    <w:basedOn w:val="9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4">
    <w:name w:val="Bordered - Accent 6"/>
    <w:basedOn w:val="9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75">
    <w:name w:val="footnote text"/>
    <w:basedOn w:val="990"/>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basedOn w:val="995"/>
    <w:uiPriority w:val="99"/>
    <w:unhideWhenUsed/>
    <w:rPr>
      <w:vertAlign w:val="superscript"/>
    </w:rPr>
  </w:style>
  <w:style w:type="paragraph" w:styleId="978">
    <w:name w:val="endnote text"/>
    <w:basedOn w:val="990"/>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basedOn w:val="995"/>
    <w:uiPriority w:val="99"/>
    <w:semiHidden/>
    <w:unhideWhenUsed/>
    <w:rPr>
      <w:vertAlign w:val="superscript"/>
    </w:rPr>
  </w:style>
  <w:style w:type="paragraph" w:styleId="981">
    <w:name w:val="toc 3"/>
    <w:basedOn w:val="990"/>
    <w:next w:val="990"/>
    <w:uiPriority w:val="39"/>
    <w:unhideWhenUsed/>
    <w:pPr>
      <w:ind w:left="567" w:right="0" w:firstLine="0"/>
      <w:spacing w:after="57"/>
    </w:pPr>
  </w:style>
  <w:style w:type="paragraph" w:styleId="982">
    <w:name w:val="toc 4"/>
    <w:basedOn w:val="990"/>
    <w:next w:val="990"/>
    <w:uiPriority w:val="39"/>
    <w:unhideWhenUsed/>
    <w:pPr>
      <w:ind w:left="850" w:right="0" w:firstLine="0"/>
      <w:spacing w:after="57"/>
    </w:pPr>
  </w:style>
  <w:style w:type="paragraph" w:styleId="983">
    <w:name w:val="toc 5"/>
    <w:basedOn w:val="990"/>
    <w:next w:val="990"/>
    <w:uiPriority w:val="39"/>
    <w:unhideWhenUsed/>
    <w:pPr>
      <w:ind w:left="1134" w:right="0" w:firstLine="0"/>
      <w:spacing w:after="57"/>
    </w:pPr>
  </w:style>
  <w:style w:type="paragraph" w:styleId="984">
    <w:name w:val="toc 6"/>
    <w:basedOn w:val="990"/>
    <w:next w:val="990"/>
    <w:uiPriority w:val="39"/>
    <w:unhideWhenUsed/>
    <w:pPr>
      <w:ind w:left="1417" w:right="0" w:firstLine="0"/>
      <w:spacing w:after="57"/>
    </w:pPr>
  </w:style>
  <w:style w:type="paragraph" w:styleId="985">
    <w:name w:val="toc 7"/>
    <w:basedOn w:val="990"/>
    <w:next w:val="990"/>
    <w:uiPriority w:val="39"/>
    <w:unhideWhenUsed/>
    <w:pPr>
      <w:ind w:left="1701" w:right="0" w:firstLine="0"/>
      <w:spacing w:after="57"/>
    </w:pPr>
  </w:style>
  <w:style w:type="paragraph" w:styleId="986">
    <w:name w:val="toc 8"/>
    <w:basedOn w:val="990"/>
    <w:next w:val="990"/>
    <w:uiPriority w:val="39"/>
    <w:unhideWhenUsed/>
    <w:pPr>
      <w:ind w:left="1984" w:right="0" w:firstLine="0"/>
      <w:spacing w:after="57"/>
    </w:pPr>
  </w:style>
  <w:style w:type="paragraph" w:styleId="987">
    <w:name w:val="toc 9"/>
    <w:basedOn w:val="990"/>
    <w:next w:val="990"/>
    <w:uiPriority w:val="39"/>
    <w:unhideWhenUsed/>
    <w:pPr>
      <w:ind w:left="2268" w:right="0" w:firstLine="0"/>
      <w:spacing w:after="57"/>
    </w:pPr>
  </w:style>
  <w:style w:type="paragraph" w:styleId="988">
    <w:name w:val="TOC Heading"/>
    <w:uiPriority w:val="39"/>
    <w:unhideWhenUsed/>
  </w:style>
  <w:style w:type="paragraph" w:styleId="989">
    <w:name w:val="table of figures"/>
    <w:basedOn w:val="990"/>
    <w:next w:val="990"/>
    <w:uiPriority w:val="99"/>
    <w:unhideWhenUsed/>
    <w:pPr>
      <w:spacing w:after="0" w:afterAutospacing="0"/>
    </w:pPr>
  </w:style>
  <w:style w:type="paragraph" w:styleId="990"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991">
    <w:name w:val="Heading 1"/>
    <w:basedOn w:val="990"/>
    <w:next w:val="990"/>
    <w:uiPriority w:val="9"/>
    <w:qFormat/>
    <w:pPr>
      <w:ind w:firstLine="0"/>
      <w:jc w:val="center"/>
      <w:keepLines/>
      <w:keepNext/>
      <w:spacing w:line="240" w:lineRule="auto"/>
      <w:outlineLvl w:val="0"/>
    </w:pPr>
    <w:rPr>
      <w:rFonts w:eastAsia="黑体"/>
      <w:b/>
      <w:bCs/>
      <w:sz w:val="36"/>
      <w:szCs w:val="44"/>
    </w:rPr>
  </w:style>
  <w:style w:type="paragraph" w:styleId="992">
    <w:name w:val="Heading 2"/>
    <w:basedOn w:val="990"/>
    <w:next w:val="990"/>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993">
    <w:name w:val="Heading 3"/>
    <w:basedOn w:val="990"/>
    <w:next w:val="997"/>
    <w:uiPriority w:val="9"/>
    <w:unhideWhenUsed/>
    <w:qFormat/>
    <w:pPr>
      <w:ind w:firstLine="0"/>
      <w:keepLines/>
      <w:keepNext/>
      <w:spacing w:line="240" w:lineRule="auto"/>
      <w:outlineLvl w:val="2"/>
    </w:pPr>
    <w:rPr>
      <w:bCs/>
      <w:sz w:val="32"/>
      <w:szCs w:val="32"/>
    </w:rPr>
  </w:style>
  <w:style w:type="paragraph" w:styleId="994">
    <w:name w:val="Heading 4"/>
    <w:basedOn w:val="990"/>
    <w:next w:val="990"/>
    <w:uiPriority w:val="9"/>
    <w:unhideWhenUsed/>
    <w:qFormat/>
    <w:pPr>
      <w:ind w:firstLine="0"/>
      <w:keepLines/>
      <w:keepNext/>
      <w:spacing w:before="120"/>
      <w:outlineLvl w:val="3"/>
    </w:pPr>
    <w:rPr>
      <w:rFonts w:asciiTheme="majorHAnsi" w:hAnsiTheme="majorHAnsi" w:cstheme="majorBidi"/>
      <w:b/>
      <w:bCs/>
      <w:sz w:val="28"/>
      <w:szCs w:val="28"/>
    </w:rPr>
  </w:style>
  <w:style w:type="character" w:styleId="995" w:default="1">
    <w:name w:val="Default Paragraph Font"/>
    <w:uiPriority w:val="1"/>
    <w:semiHidden/>
    <w:unhideWhenUsed/>
    <w:qFormat/>
  </w:style>
  <w:style w:type="table" w:styleId="996" w:default="1">
    <w:name w:val="Normal Table"/>
    <w:uiPriority w:val="99"/>
    <w:semiHidden/>
    <w:unhideWhenUsed/>
    <w:qFormat/>
    <w:tblPr>
      <w:tblCellMar>
        <w:left w:w="108" w:type="dxa"/>
        <w:top w:w="0" w:type="dxa"/>
        <w:right w:w="108" w:type="dxa"/>
        <w:bottom w:w="0" w:type="dxa"/>
      </w:tblCellMar>
    </w:tblPr>
  </w:style>
  <w:style w:type="paragraph" w:styleId="997">
    <w:name w:val="Normal Indent"/>
    <w:basedOn w:val="990"/>
    <w:uiPriority w:val="0"/>
    <w:qFormat/>
    <w:pPr>
      <w:ind w:firstLine="420"/>
    </w:pPr>
    <w:rPr>
      <w:sz w:val="20"/>
      <w:szCs w:val="20"/>
    </w:rPr>
  </w:style>
  <w:style w:type="paragraph" w:styleId="998">
    <w:name w:val="annotation text"/>
    <w:basedOn w:val="990"/>
    <w:uiPriority w:val="0"/>
    <w:qFormat/>
  </w:style>
  <w:style w:type="paragraph" w:styleId="999">
    <w:name w:val="Body Text"/>
    <w:basedOn w:val="990"/>
    <w:uiPriority w:val="0"/>
    <w:semiHidden/>
    <w:qFormat/>
    <w:pPr>
      <w:ind w:firstLine="0"/>
      <w:spacing w:line="240" w:lineRule="auto"/>
    </w:pPr>
    <w:rPr>
      <w:rFonts w:eastAsia="Arial"/>
      <w:sz w:val="21"/>
    </w:rPr>
  </w:style>
  <w:style w:type="paragraph" w:styleId="1000">
    <w:name w:val="Body Text Indent"/>
    <w:basedOn w:val="990"/>
    <w:uiPriority w:val="99"/>
    <w:semiHidden/>
    <w:unhideWhenUsed/>
    <w:qFormat/>
    <w:pPr>
      <w:ind w:left="420"/>
      <w:spacing w:after="120"/>
    </w:pPr>
  </w:style>
  <w:style w:type="paragraph" w:styleId="1001">
    <w:name w:val="Balloon Text"/>
    <w:basedOn w:val="990"/>
    <w:link w:val="1011"/>
    <w:uiPriority w:val="0"/>
    <w:qFormat/>
    <w:pPr>
      <w:spacing w:line="240" w:lineRule="auto"/>
    </w:pPr>
    <w:rPr>
      <w:rFonts w:ascii="宋体"/>
      <w:sz w:val="18"/>
      <w:szCs w:val="18"/>
    </w:rPr>
  </w:style>
  <w:style w:type="paragraph" w:styleId="1002">
    <w:name w:val="Footer"/>
    <w:basedOn w:val="990"/>
    <w:uiPriority w:val="99"/>
    <w:unhideWhenUsed/>
    <w:qFormat/>
    <w:pPr>
      <w:tabs>
        <w:tab w:val="center" w:pos="4153" w:leader="none"/>
        <w:tab w:val="right" w:pos="8306" w:leader="none"/>
      </w:tabs>
    </w:pPr>
    <w:rPr>
      <w:sz w:val="18"/>
      <w:szCs w:val="18"/>
    </w:rPr>
  </w:style>
  <w:style w:type="paragraph" w:styleId="1003">
    <w:name w:val="Header"/>
    <w:basedOn w:val="990"/>
    <w:uiPriority w:val="99"/>
    <w:unhideWhenUsed/>
    <w:qFormat/>
    <w:pPr>
      <w:jc w:val="center"/>
      <w:tabs>
        <w:tab w:val="center" w:pos="4153" w:leader="none"/>
        <w:tab w:val="right" w:pos="8306" w:leader="none"/>
      </w:tabs>
    </w:pPr>
    <w:rPr>
      <w:sz w:val="18"/>
      <w:szCs w:val="18"/>
    </w:rPr>
  </w:style>
  <w:style w:type="paragraph" w:styleId="1004">
    <w:name w:val="toc 1"/>
    <w:basedOn w:val="990"/>
    <w:next w:val="990"/>
    <w:uiPriority w:val="39"/>
    <w:unhideWhenUsed/>
    <w:qFormat/>
    <w:pPr>
      <w:ind w:firstLine="0"/>
      <w:tabs>
        <w:tab w:val="right" w:pos="8890" w:leader="dot"/>
      </w:tabs>
    </w:pPr>
  </w:style>
  <w:style w:type="paragraph" w:styleId="1005">
    <w:name w:val="toc 2"/>
    <w:basedOn w:val="990"/>
    <w:next w:val="990"/>
    <w:uiPriority w:val="39"/>
    <w:unhideWhenUsed/>
    <w:qFormat/>
    <w:pPr>
      <w:ind w:left="420"/>
    </w:pPr>
  </w:style>
  <w:style w:type="character" w:styleId="1006">
    <w:name w:val="Hyperlink"/>
    <w:basedOn w:val="995"/>
    <w:uiPriority w:val="99"/>
    <w:unhideWhenUsed/>
    <w:qFormat/>
    <w:rPr>
      <w:color w:val="0026e5" w:themeColor="hyperlink"/>
      <w:u w:val="single"/>
      <w14:textFill>
        <w14:solidFill>
          <w14:schemeClr w14:val="hlink"/>
        </w14:solidFill>
      </w14:textFill>
    </w:rPr>
  </w:style>
  <w:style w:type="character" w:styleId="1007">
    <w:name w:val="annotation reference"/>
    <w:basedOn w:val="995"/>
    <w:uiPriority w:val="0"/>
    <w:qFormat/>
    <w:rPr>
      <w:sz w:val="21"/>
      <w:szCs w:val="21"/>
    </w:rPr>
  </w:style>
  <w:style w:type="paragraph" w:styleId="1008" w:customStyle="1">
    <w:name w:val="TOC 标题1"/>
    <w:basedOn w:val="991"/>
    <w:next w:val="990"/>
    <w:uiPriority w:val="39"/>
    <w:unhideWhenUsed/>
    <w:qFormat/>
    <w:pPr>
      <w:jc w:val="left"/>
      <w:spacing w:before="240" w:line="259" w:lineRule="auto"/>
      <w:outlineLvl w:val="9"/>
    </w:pPr>
    <w:rPr>
      <w:rFonts w:asciiTheme="majorHAnsi" w:hAnsiTheme="majorHAnsi" w:eastAsiaTheme="majorEastAsia" w:cstheme="majorBidi"/>
      <w:b w:val="0"/>
      <w:bCs w:val="0"/>
      <w:color w:val="2e54a1" w:themeColor="accent1" w:themeShade="BF"/>
      <w:sz w:val="32"/>
      <w:szCs w:val="32"/>
      <w:lang w:eastAsia="zh-CN"/>
    </w:rPr>
  </w:style>
  <w:style w:type="paragraph" w:styleId="1009">
    <w:name w:val="List Paragraph"/>
    <w:basedOn w:val="990"/>
    <w:uiPriority w:val="34"/>
    <w:qFormat/>
    <w:pPr>
      <w:ind w:firstLine="420"/>
    </w:pPr>
  </w:style>
  <w:style w:type="paragraph" w:styleId="1010" w:customStyle="1">
    <w:name w:val="_Style 1"/>
    <w:basedOn w:val="990"/>
    <w:uiPriority w:val="99"/>
    <w:qFormat/>
    <w:pPr>
      <w:ind w:firstLine="420"/>
    </w:pPr>
    <w:rPr>
      <w:rFonts w:ascii="Calibri" w:hAnsi="Calibri"/>
      <w:szCs w:val="22"/>
    </w:rPr>
  </w:style>
  <w:style w:type="character" w:styleId="1011" w:customStyle="1">
    <w:name w:val="批注框文本 Char"/>
    <w:basedOn w:val="995"/>
    <w:link w:val="1001"/>
    <w:uiPriority w:val="0"/>
    <w:qFormat/>
    <w:rPr>
      <w:rFonts w:ascii="宋体" w:hAnsi="Arial" w:eastAsia="宋体" w:cs="Arial"/>
      <w:color w:val="000000"/>
      <w:sz w:val="18"/>
      <w:szCs w:val="18"/>
      <w:lang w:eastAsia="en-US"/>
    </w:rPr>
  </w:style>
  <w:style w:type="paragraph" w:styleId="1012" w:customStyle="1">
    <w:name w:val="修订1"/>
    <w:hidden/>
    <w:uiPriority w:val="99"/>
    <w:semiHidden/>
    <w:qFormat/>
    <w:rPr>
      <w:rFonts w:ascii="Arial" w:hAnsi="Arial" w:eastAsia="宋体" w:cs="Arial"/>
      <w:color w:val="000000"/>
      <w:sz w:val="24"/>
      <w:szCs w:val="21"/>
      <w:lang w:val="en-US" w:eastAsia="en-US" w:bidi="ar-SA"/>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张姝淼</dc:creator>
  <cp:lastModifiedBy>宁本营</cp:lastModifiedBy>
  <cp:revision>6</cp:revision>
  <dcterms:created xsi:type="dcterms:W3CDTF">2025-10-09T08:35:00Z</dcterms:created>
  <dcterms:modified xsi:type="dcterms:W3CDTF">2025-10-17T02:38:31Z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8C52A5206BAF49BBBD2F8DE133484A62_13</vt:lpwstr>
  </property>
  <property fmtid="{D5CDD505-2E9C-101B-9397-08002B2CF9AE}" pid="4" name="KSOTemplateDocerSaveRecord">
    <vt:lpwstr>eyJoZGlkIjoiYTc5NzI1MWYzYzI2MDY1MTMwODc4MjhjYTdiZGEyZTAiLCJ1c2VySWQiOiI3MjExNzA2NzAifQ==</vt:lpwstr>
  </property>
</Properties>
</file>